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10E6E" w14:textId="0CC5C61B" w:rsidR="00DD1E47" w:rsidRPr="00AA5B63" w:rsidRDefault="00DD1E47" w:rsidP="006771E8">
      <w:pPr>
        <w:pStyle w:val="BodyText"/>
        <w:rPr>
          <w:rFonts w:ascii="Arial" w:hAnsi="Arial" w:cstheme="minorBidi"/>
          <w:sz w:val="19"/>
          <w:szCs w:val="24"/>
          <w:lang w:val="en-US" w:bidi="th-TH"/>
        </w:rPr>
      </w:pPr>
    </w:p>
    <w:p w14:paraId="5F3CC55D" w14:textId="77777777" w:rsidR="00063D92" w:rsidRPr="007631C6" w:rsidRDefault="00063D92" w:rsidP="006771E8">
      <w:pPr>
        <w:pStyle w:val="BodyText"/>
        <w:rPr>
          <w:rFonts w:ascii="Arial" w:hAnsi="Arial"/>
          <w:sz w:val="19"/>
          <w:szCs w:val="19"/>
        </w:rPr>
      </w:pPr>
    </w:p>
    <w:p w14:paraId="44938760" w14:textId="77777777" w:rsidR="00D15EA5" w:rsidRPr="007631C6" w:rsidRDefault="006F1B19" w:rsidP="00D15EA5">
      <w:pPr>
        <w:pStyle w:val="BodyText"/>
        <w:rPr>
          <w:rFonts w:ascii="Arial" w:hAnsi="Arial"/>
          <w:sz w:val="19"/>
          <w:szCs w:val="19"/>
        </w:rPr>
      </w:pPr>
      <w:r w:rsidRPr="007631C6">
        <w:rPr>
          <w:rFonts w:ascii="Arial" w:hAnsi="Arial"/>
          <w:sz w:val="19"/>
          <w:szCs w:val="19"/>
        </w:rPr>
        <w:br w:type="textWrapping" w:clear="all"/>
      </w:r>
    </w:p>
    <w:p w14:paraId="7858A176" w14:textId="5F19EBC1" w:rsidR="00D15EA5" w:rsidRPr="007631C6" w:rsidRDefault="00D15EA5" w:rsidP="00E11C05">
      <w:pPr>
        <w:pStyle w:val="BodyText"/>
        <w:spacing w:after="240"/>
        <w:rPr>
          <w:rFonts w:ascii="Arial" w:hAnsi="Arial"/>
          <w:sz w:val="19"/>
          <w:szCs w:val="19"/>
          <w:lang w:bidi="th-TH"/>
        </w:rPr>
      </w:pPr>
    </w:p>
    <w:p w14:paraId="007641BB" w14:textId="77777777" w:rsidR="00CB3B2F" w:rsidRDefault="00CB3B2F" w:rsidP="00E11C05">
      <w:pPr>
        <w:pStyle w:val="BodyText"/>
        <w:spacing w:after="240"/>
        <w:rPr>
          <w:rFonts w:ascii="Arial" w:hAnsi="Arial" w:cstheme="minorBidi"/>
          <w:sz w:val="19"/>
          <w:szCs w:val="19"/>
          <w:lang w:bidi="th-TH"/>
        </w:rPr>
      </w:pPr>
    </w:p>
    <w:p w14:paraId="528468D2" w14:textId="77777777" w:rsidR="005035A5" w:rsidRDefault="005035A5" w:rsidP="008E2C42">
      <w:pPr>
        <w:pStyle w:val="BodyText"/>
        <w:spacing w:after="0" w:line="360" w:lineRule="auto"/>
        <w:ind w:right="-35"/>
        <w:rPr>
          <w:rFonts w:ascii="Arial" w:hAnsi="Arial"/>
          <w:b/>
          <w:bCs/>
          <w:sz w:val="19"/>
          <w:szCs w:val="19"/>
        </w:rPr>
      </w:pPr>
    </w:p>
    <w:p w14:paraId="33C7169F" w14:textId="77777777" w:rsidR="005035A5" w:rsidRDefault="005035A5" w:rsidP="008E2C42">
      <w:pPr>
        <w:pStyle w:val="BodyText"/>
        <w:spacing w:after="0" w:line="360" w:lineRule="auto"/>
        <w:ind w:right="-35"/>
        <w:rPr>
          <w:rFonts w:ascii="Arial" w:hAnsi="Arial"/>
          <w:b/>
          <w:bCs/>
          <w:sz w:val="19"/>
          <w:szCs w:val="19"/>
        </w:rPr>
      </w:pPr>
    </w:p>
    <w:p w14:paraId="36931AC4" w14:textId="57537E10" w:rsidR="00873ED1" w:rsidRPr="00873ED1" w:rsidRDefault="00CC5D72" w:rsidP="00873ED1">
      <w:pPr>
        <w:spacing w:line="360" w:lineRule="auto"/>
        <w:rPr>
          <w:rFonts w:ascii="Arial" w:hAnsi="Arial"/>
          <w:b/>
          <w:bCs/>
          <w:sz w:val="19"/>
          <w:szCs w:val="19"/>
        </w:rPr>
      </w:pPr>
      <w:r w:rsidRPr="00CC5D72">
        <w:rPr>
          <w:rFonts w:ascii="Arial" w:hAnsi="Arial"/>
          <w:b/>
          <w:bCs/>
          <w:sz w:val="19"/>
          <w:szCs w:val="19"/>
        </w:rPr>
        <w:t xml:space="preserve">To the Board of Directors and the Shareholders of </w:t>
      </w:r>
      <w:bookmarkStart w:id="1" w:name="_Hlk128417573"/>
      <w:r w:rsidR="00E564B0" w:rsidRPr="00E564B0">
        <w:rPr>
          <w:rFonts w:ascii="Arial" w:hAnsi="Arial"/>
          <w:b/>
          <w:bCs/>
          <w:sz w:val="19"/>
          <w:szCs w:val="19"/>
        </w:rPr>
        <w:t>WICE Logistics Public Company Limited</w:t>
      </w:r>
    </w:p>
    <w:p w14:paraId="42FA7CAA" w14:textId="77777777" w:rsidR="00873ED1" w:rsidRDefault="00873ED1" w:rsidP="00873ED1">
      <w:pPr>
        <w:spacing w:line="360" w:lineRule="auto"/>
        <w:rPr>
          <w:rFonts w:ascii="Arial" w:hAnsi="Arial" w:cstheme="minorBidi"/>
          <w:i/>
          <w:iCs/>
          <w:sz w:val="19"/>
          <w:szCs w:val="24"/>
          <w:lang w:bidi="th-TH"/>
        </w:rPr>
      </w:pPr>
    </w:p>
    <w:p w14:paraId="7F49BAFE" w14:textId="786482CA" w:rsidR="00532450" w:rsidRDefault="00CF35F3" w:rsidP="00873ED1">
      <w:pPr>
        <w:spacing w:line="360" w:lineRule="auto"/>
        <w:rPr>
          <w:rFonts w:ascii="Arial" w:hAnsi="Arial"/>
          <w:i/>
          <w:iCs/>
          <w:sz w:val="19"/>
          <w:szCs w:val="19"/>
        </w:rPr>
      </w:pPr>
      <w:r w:rsidRPr="00CF35F3">
        <w:rPr>
          <w:rFonts w:ascii="Arial" w:hAnsi="Arial"/>
          <w:i/>
          <w:iCs/>
          <w:sz w:val="19"/>
          <w:szCs w:val="19"/>
        </w:rPr>
        <w:t>Opinion</w:t>
      </w:r>
    </w:p>
    <w:bookmarkEnd w:id="1"/>
    <w:p w14:paraId="469FA51B" w14:textId="77777777" w:rsidR="00475379" w:rsidRPr="00A80B17" w:rsidRDefault="00475379" w:rsidP="00AE5149">
      <w:pPr>
        <w:spacing w:after="0" w:line="360" w:lineRule="auto"/>
        <w:rPr>
          <w:rFonts w:ascii="Arial" w:hAnsi="Arial"/>
          <w:b/>
          <w:bCs/>
          <w:sz w:val="19"/>
          <w:szCs w:val="19"/>
        </w:rPr>
      </w:pPr>
    </w:p>
    <w:p w14:paraId="08CAD7E8" w14:textId="5DC59404" w:rsidR="00E63F24" w:rsidRPr="00732E6A" w:rsidRDefault="00E63F24" w:rsidP="00193CA8">
      <w:pPr>
        <w:pStyle w:val="BodyText"/>
        <w:spacing w:line="360" w:lineRule="auto"/>
        <w:jc w:val="thaiDistribute"/>
        <w:rPr>
          <w:rFonts w:ascii="Arial" w:hAnsi="Arial"/>
          <w:sz w:val="19"/>
          <w:szCs w:val="19"/>
        </w:rPr>
      </w:pPr>
      <w:r w:rsidRPr="00732E6A">
        <w:rPr>
          <w:rFonts w:ascii="Arial" w:hAnsi="Arial"/>
          <w:sz w:val="19"/>
          <w:szCs w:val="19"/>
        </w:rPr>
        <w:t xml:space="preserve">I have audited the consolidated and separate financial statements of </w:t>
      </w:r>
      <w:r w:rsidR="00E564B0" w:rsidRPr="00E564B0">
        <w:rPr>
          <w:rFonts w:ascii="Arial" w:hAnsi="Arial"/>
          <w:sz w:val="19"/>
          <w:szCs w:val="19"/>
        </w:rPr>
        <w:t xml:space="preserve">WICE Logistics Public Company Limited </w:t>
      </w:r>
      <w:r w:rsidR="00EF3391">
        <w:rPr>
          <w:rFonts w:ascii="Arial" w:hAnsi="Arial"/>
          <w:sz w:val="19"/>
          <w:szCs w:val="19"/>
          <w:lang w:val="en-US"/>
        </w:rPr>
        <w:t xml:space="preserve">(the Company) </w:t>
      </w:r>
      <w:r w:rsidRPr="00732E6A">
        <w:rPr>
          <w:rFonts w:ascii="Arial" w:hAnsi="Arial"/>
          <w:sz w:val="19"/>
          <w:szCs w:val="19"/>
        </w:rPr>
        <w:t>and its subsidiaries (the Group), which comprise the consolidated and separate statements of financial position as at 31 December 202</w:t>
      </w:r>
      <w:r w:rsidR="00E564B0">
        <w:rPr>
          <w:rFonts w:ascii="Arial" w:hAnsi="Arial"/>
          <w:sz w:val="19"/>
          <w:szCs w:val="19"/>
        </w:rPr>
        <w:t>5</w:t>
      </w:r>
      <w:r w:rsidRPr="00732E6A">
        <w:rPr>
          <w:rFonts w:ascii="Arial" w:hAnsi="Arial"/>
          <w:sz w:val="19"/>
          <w:szCs w:val="19"/>
        </w:rPr>
        <w:t xml:space="preserve">, the consolidated and separate statements of comprehensive income, the consolidated and separate statements of changes in </w:t>
      </w:r>
      <w:r w:rsidR="00904A25">
        <w:rPr>
          <w:rFonts w:ascii="Arial" w:hAnsi="Arial"/>
          <w:sz w:val="19"/>
          <w:szCs w:val="19"/>
        </w:rPr>
        <w:t xml:space="preserve">shareholders’ </w:t>
      </w:r>
      <w:r w:rsidRPr="00732E6A">
        <w:rPr>
          <w:rFonts w:ascii="Arial" w:hAnsi="Arial"/>
          <w:sz w:val="19"/>
          <w:szCs w:val="19"/>
        </w:rPr>
        <w:t xml:space="preserve">equity and the consolidated and separate statements of cash flows for the year then ended and notes to the financial statements, which include significant accounting policies. </w:t>
      </w:r>
    </w:p>
    <w:p w14:paraId="68C9A3FD" w14:textId="77777777" w:rsidR="00E63F24" w:rsidRPr="00732E6A" w:rsidRDefault="00E63F24" w:rsidP="00E63F24">
      <w:pPr>
        <w:spacing w:after="0" w:line="240" w:lineRule="auto"/>
        <w:jc w:val="thaiDistribute"/>
        <w:rPr>
          <w:rFonts w:ascii="Arial" w:hAnsi="Arial"/>
          <w:color w:val="000000" w:themeColor="text1"/>
          <w:sz w:val="19"/>
          <w:szCs w:val="19"/>
        </w:rPr>
      </w:pPr>
    </w:p>
    <w:p w14:paraId="1AA51068" w14:textId="50C7412A" w:rsidR="00E63F24" w:rsidRPr="00732E6A" w:rsidRDefault="00E63F24" w:rsidP="00193CA8">
      <w:pPr>
        <w:pStyle w:val="BodyText"/>
        <w:spacing w:line="360" w:lineRule="auto"/>
        <w:jc w:val="thaiDistribute"/>
        <w:rPr>
          <w:rFonts w:ascii="Arial" w:hAnsi="Arial"/>
          <w:sz w:val="19"/>
          <w:szCs w:val="19"/>
        </w:rPr>
      </w:pPr>
      <w:r w:rsidRPr="00732E6A">
        <w:rPr>
          <w:rFonts w:ascii="Arial" w:hAnsi="Arial"/>
          <w:sz w:val="19"/>
          <w:szCs w:val="19"/>
        </w:rPr>
        <w:t>In my opinion, the consolidated and separate financial statements present fairly, in all material respects, the consolidated and separate financial position of</w:t>
      </w:r>
      <w:r w:rsidR="00AA5B63">
        <w:rPr>
          <w:rFonts w:ascii="Arial" w:hAnsi="Arial" w:cstheme="minorBidi"/>
          <w:sz w:val="19"/>
          <w:szCs w:val="24"/>
          <w:lang w:bidi="th-TH"/>
        </w:rPr>
        <w:t xml:space="preserve"> </w:t>
      </w:r>
      <w:r w:rsidR="00E564B0" w:rsidRPr="00E564B0">
        <w:rPr>
          <w:rFonts w:ascii="Arial" w:hAnsi="Arial"/>
          <w:sz w:val="19"/>
          <w:szCs w:val="19"/>
        </w:rPr>
        <w:t xml:space="preserve">WICE Logistics Public Company Limited </w:t>
      </w:r>
      <w:r w:rsidRPr="00732E6A">
        <w:rPr>
          <w:rFonts w:ascii="Arial" w:hAnsi="Arial"/>
          <w:sz w:val="19"/>
          <w:szCs w:val="19"/>
        </w:rPr>
        <w:t>and its subsidiaries</w:t>
      </w:r>
      <w:r w:rsidR="00AA5B63">
        <w:rPr>
          <w:rFonts w:ascii="Arial" w:hAnsi="Arial"/>
          <w:sz w:val="19"/>
          <w:szCs w:val="19"/>
        </w:rPr>
        <w:t xml:space="preserve"> </w:t>
      </w:r>
      <w:r w:rsidRPr="00732E6A">
        <w:rPr>
          <w:rFonts w:ascii="Arial" w:hAnsi="Arial"/>
          <w:sz w:val="19"/>
          <w:szCs w:val="19"/>
        </w:rPr>
        <w:t>as at 31 December 202</w:t>
      </w:r>
      <w:r w:rsidR="00E564B0">
        <w:rPr>
          <w:rFonts w:ascii="Arial" w:hAnsi="Arial"/>
          <w:sz w:val="19"/>
          <w:szCs w:val="19"/>
        </w:rPr>
        <w:t>5</w:t>
      </w:r>
      <w:r w:rsidRPr="00732E6A">
        <w:rPr>
          <w:rFonts w:ascii="Arial" w:hAnsi="Arial"/>
          <w:sz w:val="19"/>
          <w:szCs w:val="19"/>
        </w:rPr>
        <w:t>, and its consolidated and separate financial</w:t>
      </w:r>
      <w:r w:rsidR="00AA5B63">
        <w:rPr>
          <w:rFonts w:ascii="Arial" w:hAnsi="Arial"/>
          <w:sz w:val="19"/>
          <w:szCs w:val="19"/>
        </w:rPr>
        <w:t xml:space="preserve"> </w:t>
      </w:r>
      <w:r w:rsidRPr="00732E6A">
        <w:rPr>
          <w:rFonts w:ascii="Arial" w:hAnsi="Arial"/>
          <w:sz w:val="19"/>
          <w:szCs w:val="19"/>
        </w:rPr>
        <w:t xml:space="preserve">performance and its consolidated and separate cash flows for the year then ended in accordance with Thai Financial Reporting Standards (TFRS). </w:t>
      </w:r>
    </w:p>
    <w:p w14:paraId="1982B273" w14:textId="23345E78" w:rsidR="00E32428" w:rsidRDefault="00E32428" w:rsidP="00E32428">
      <w:pPr>
        <w:pStyle w:val="BodyText"/>
        <w:spacing w:after="0" w:line="360" w:lineRule="auto"/>
        <w:rPr>
          <w:rFonts w:ascii="Arial" w:hAnsi="Arial"/>
          <w:b/>
          <w:bCs/>
          <w:sz w:val="19"/>
          <w:szCs w:val="19"/>
        </w:rPr>
      </w:pPr>
    </w:p>
    <w:p w14:paraId="79B7B26B" w14:textId="77777777" w:rsidR="00E63F24" w:rsidRPr="00E63F24" w:rsidRDefault="00E63F24" w:rsidP="00E63F24">
      <w:pPr>
        <w:spacing w:after="0" w:line="360" w:lineRule="auto"/>
        <w:rPr>
          <w:rFonts w:ascii="Arial" w:hAnsi="Arial"/>
          <w:i/>
          <w:iCs/>
          <w:sz w:val="19"/>
          <w:szCs w:val="19"/>
        </w:rPr>
      </w:pPr>
      <w:r w:rsidRPr="00E63F24">
        <w:rPr>
          <w:rFonts w:ascii="Arial" w:hAnsi="Arial"/>
          <w:i/>
          <w:iCs/>
          <w:sz w:val="19"/>
          <w:szCs w:val="19"/>
        </w:rPr>
        <w:t xml:space="preserve">Basis for opinion </w:t>
      </w:r>
    </w:p>
    <w:p w14:paraId="40A53C83" w14:textId="77777777" w:rsidR="00E63F24" w:rsidRPr="002757B2" w:rsidRDefault="00E63F24" w:rsidP="00E63F24">
      <w:pPr>
        <w:pStyle w:val="Default"/>
        <w:jc w:val="thaiDistribute"/>
        <w:rPr>
          <w:rFonts w:eastAsia="Calibri"/>
          <w:b/>
          <w:bCs/>
          <w:color w:val="000000" w:themeColor="text1"/>
          <w:sz w:val="20"/>
          <w:szCs w:val="20"/>
        </w:rPr>
      </w:pPr>
    </w:p>
    <w:p w14:paraId="452DA199" w14:textId="7D0A302B" w:rsidR="00880EE2" w:rsidRDefault="00E63F24" w:rsidP="00193CA8">
      <w:pPr>
        <w:pStyle w:val="BodyText"/>
        <w:spacing w:line="360" w:lineRule="auto"/>
        <w:jc w:val="thaiDistribute"/>
        <w:rPr>
          <w:rFonts w:ascii="Arial" w:hAnsi="Arial"/>
          <w:sz w:val="19"/>
          <w:szCs w:val="19"/>
        </w:rPr>
      </w:pPr>
      <w:r w:rsidRPr="00732E6A">
        <w:rPr>
          <w:rFonts w:ascii="Arial" w:hAnsi="Arial"/>
          <w:sz w:val="19"/>
          <w:szCs w:val="19"/>
        </w:rPr>
        <w:t xml:space="preserve">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Professions (TFAC Code) that are relevant to my audit of the consolidated and separate financial statements, and I have fulfilled my other ethical responsibilities in accordance with the TFAC Code. I believe that the audit evidence I have obtained is sufficient and appropriate to provide a basis for my opinion. </w:t>
      </w:r>
    </w:p>
    <w:p w14:paraId="3CA0588A" w14:textId="77777777" w:rsidR="007C73AF" w:rsidRDefault="007C73AF" w:rsidP="00193CA8">
      <w:pPr>
        <w:pStyle w:val="BodyText"/>
        <w:spacing w:line="360" w:lineRule="auto"/>
        <w:jc w:val="thaiDistribute"/>
        <w:rPr>
          <w:rFonts w:ascii="Arial" w:hAnsi="Arial"/>
          <w:sz w:val="19"/>
          <w:szCs w:val="19"/>
        </w:rPr>
      </w:pPr>
    </w:p>
    <w:p w14:paraId="56AF4CD6" w14:textId="77777777" w:rsidR="007C73AF" w:rsidRPr="00732E6A" w:rsidRDefault="007C73AF" w:rsidP="00193CA8">
      <w:pPr>
        <w:pStyle w:val="BodyText"/>
        <w:spacing w:line="360" w:lineRule="auto"/>
        <w:jc w:val="thaiDistribute"/>
        <w:rPr>
          <w:rFonts w:ascii="Arial" w:hAnsi="Arial"/>
          <w:b/>
          <w:bCs/>
          <w:sz w:val="19"/>
          <w:szCs w:val="19"/>
        </w:rPr>
      </w:pPr>
    </w:p>
    <w:p w14:paraId="72E09953" w14:textId="7184E35F" w:rsidR="00063D92" w:rsidRPr="003E0F7B" w:rsidRDefault="00063D92" w:rsidP="00063D92">
      <w:pPr>
        <w:autoSpaceDE w:val="0"/>
        <w:autoSpaceDN w:val="0"/>
        <w:adjustRightInd w:val="0"/>
        <w:spacing w:after="0" w:line="360" w:lineRule="auto"/>
        <w:rPr>
          <w:rFonts w:ascii="Arial" w:hAnsi="Arial"/>
          <w:i/>
          <w:iCs/>
          <w:sz w:val="19"/>
          <w:szCs w:val="19"/>
        </w:rPr>
      </w:pPr>
      <w:r w:rsidRPr="003E0F7B">
        <w:rPr>
          <w:rFonts w:ascii="Arial" w:hAnsi="Arial"/>
          <w:i/>
          <w:iCs/>
          <w:sz w:val="19"/>
          <w:szCs w:val="19"/>
        </w:rPr>
        <w:lastRenderedPageBreak/>
        <w:t>Key Audit Matters</w:t>
      </w:r>
    </w:p>
    <w:p w14:paraId="2D670CB3" w14:textId="77777777" w:rsidR="00063D92" w:rsidRPr="00B275AF" w:rsidRDefault="00063D92" w:rsidP="00063D92">
      <w:pPr>
        <w:autoSpaceDE w:val="0"/>
        <w:autoSpaceDN w:val="0"/>
        <w:adjustRightInd w:val="0"/>
        <w:spacing w:after="0" w:line="360" w:lineRule="auto"/>
        <w:rPr>
          <w:rFonts w:ascii="Arial" w:hAnsi="Arial"/>
          <w:sz w:val="19"/>
          <w:szCs w:val="19"/>
        </w:rPr>
      </w:pPr>
      <w:r w:rsidRPr="003E0F7B">
        <w:rPr>
          <w:rFonts w:ascii="Arial" w:hAnsi="Arial"/>
          <w:b/>
          <w:bCs/>
          <w:sz w:val="19"/>
          <w:szCs w:val="19"/>
        </w:rPr>
        <w:t xml:space="preserve"> </w:t>
      </w:r>
    </w:p>
    <w:p w14:paraId="655EF921" w14:textId="4D15D679" w:rsidR="00063D92" w:rsidRDefault="00063D92" w:rsidP="00193CA8">
      <w:pPr>
        <w:pStyle w:val="BodyText"/>
        <w:spacing w:line="360" w:lineRule="auto"/>
        <w:jc w:val="thaiDistribute"/>
        <w:rPr>
          <w:rFonts w:ascii="Arial" w:hAnsi="Arial"/>
          <w:spacing w:val="-4"/>
          <w:sz w:val="19"/>
          <w:szCs w:val="19"/>
        </w:rPr>
      </w:pPr>
      <w:r w:rsidRPr="00193CA8">
        <w:rPr>
          <w:rFonts w:ascii="Arial" w:hAnsi="Arial"/>
          <w:spacing w:val="-4"/>
          <w:sz w:val="19"/>
          <w:szCs w:val="19"/>
        </w:rPr>
        <w:t xml:space="preserve">Key audit matters are those matters that, in my professional judgment, were of most significance in my audit of the consolidated and separate financial statements of the current </w:t>
      </w:r>
      <w:r w:rsidR="000B1247" w:rsidRPr="00193CA8">
        <w:rPr>
          <w:rFonts w:ascii="Arial" w:hAnsi="Arial"/>
          <w:spacing w:val="-4"/>
          <w:sz w:val="19"/>
          <w:szCs w:val="19"/>
        </w:rPr>
        <w:t>year</w:t>
      </w:r>
      <w:r w:rsidRPr="00193CA8">
        <w:rPr>
          <w:rFonts w:ascii="Arial" w:hAnsi="Arial"/>
          <w:spacing w:val="-4"/>
          <w:sz w:val="19"/>
          <w:szCs w:val="19"/>
        </w:rPr>
        <w:t xml:space="preserve">. These matters were addressed in the context of my audit of the consolidated and separate financial </w:t>
      </w:r>
      <w:proofErr w:type="gramStart"/>
      <w:r w:rsidRPr="00193CA8">
        <w:rPr>
          <w:rFonts w:ascii="Arial" w:hAnsi="Arial"/>
          <w:spacing w:val="-4"/>
          <w:sz w:val="19"/>
          <w:szCs w:val="19"/>
        </w:rPr>
        <w:t>statements as a whole, and</w:t>
      </w:r>
      <w:proofErr w:type="gramEnd"/>
      <w:r w:rsidRPr="00193CA8">
        <w:rPr>
          <w:rFonts w:ascii="Arial" w:hAnsi="Arial"/>
          <w:spacing w:val="-4"/>
          <w:sz w:val="19"/>
          <w:szCs w:val="19"/>
        </w:rPr>
        <w:t xml:space="preserve"> in forming my opinion thereon, and I do not provide a separate opinion on these matters.</w:t>
      </w:r>
    </w:p>
    <w:p w14:paraId="0788597C" w14:textId="77777777" w:rsidR="00063D92" w:rsidRPr="003E0F7B" w:rsidRDefault="00063D92" w:rsidP="00063D92">
      <w:pPr>
        <w:pStyle w:val="BodyText"/>
        <w:spacing w:after="0" w:line="360" w:lineRule="auto"/>
        <w:jc w:val="thaiDistribute"/>
        <w:rPr>
          <w:rFonts w:ascii="Arial" w:hAnsi="Arial"/>
          <w:sz w:val="19"/>
          <w:szCs w:val="19"/>
        </w:rPr>
      </w:pPr>
    </w:p>
    <w:tbl>
      <w:tblPr>
        <w:tblW w:w="847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1"/>
        <w:gridCol w:w="4349"/>
      </w:tblGrid>
      <w:tr w:rsidR="00063D92" w:rsidRPr="002D48D7" w14:paraId="0A4B3274" w14:textId="77777777" w:rsidTr="00B124B0">
        <w:trPr>
          <w:tblHeader/>
        </w:trPr>
        <w:tc>
          <w:tcPr>
            <w:tcW w:w="4121" w:type="dxa"/>
            <w:tcBorders>
              <w:bottom w:val="single" w:sz="4" w:space="0" w:color="auto"/>
            </w:tcBorders>
            <w:shd w:val="clear" w:color="auto" w:fill="5D3597"/>
          </w:tcPr>
          <w:p w14:paraId="14DD8C24" w14:textId="77777777" w:rsidR="00063D92" w:rsidRPr="002D48D7" w:rsidRDefault="00063D92" w:rsidP="00D87553">
            <w:pPr>
              <w:autoSpaceDE w:val="0"/>
              <w:autoSpaceDN w:val="0"/>
              <w:adjustRightInd w:val="0"/>
              <w:spacing w:after="0" w:line="360" w:lineRule="auto"/>
              <w:rPr>
                <w:rFonts w:ascii="Arial" w:hAnsi="Arial"/>
                <w:b/>
                <w:bCs/>
                <w:color w:val="FFFFFF" w:themeColor="background1"/>
                <w:sz w:val="19"/>
                <w:szCs w:val="19"/>
              </w:rPr>
            </w:pPr>
            <w:r w:rsidRPr="002D48D7">
              <w:rPr>
                <w:rFonts w:ascii="Arial" w:hAnsi="Arial"/>
                <w:b/>
                <w:bCs/>
                <w:color w:val="FFFFFF" w:themeColor="background1"/>
                <w:sz w:val="19"/>
                <w:szCs w:val="19"/>
              </w:rPr>
              <w:t>Key audit matters</w:t>
            </w:r>
          </w:p>
        </w:tc>
        <w:tc>
          <w:tcPr>
            <w:tcW w:w="4349" w:type="dxa"/>
            <w:tcBorders>
              <w:bottom w:val="single" w:sz="4" w:space="0" w:color="auto"/>
            </w:tcBorders>
            <w:shd w:val="clear" w:color="auto" w:fill="5D3597"/>
          </w:tcPr>
          <w:p w14:paraId="12560D5C" w14:textId="56530673" w:rsidR="00063D92" w:rsidRPr="002D48D7" w:rsidRDefault="00F83073" w:rsidP="00D87553">
            <w:pPr>
              <w:autoSpaceDE w:val="0"/>
              <w:autoSpaceDN w:val="0"/>
              <w:adjustRightInd w:val="0"/>
              <w:spacing w:after="0" w:line="360" w:lineRule="auto"/>
              <w:rPr>
                <w:rFonts w:ascii="Arial" w:hAnsi="Arial"/>
                <w:b/>
                <w:bCs/>
                <w:color w:val="FFFFFF" w:themeColor="background1"/>
                <w:sz w:val="19"/>
                <w:szCs w:val="19"/>
              </w:rPr>
            </w:pPr>
            <w:r w:rsidRPr="002D48D7">
              <w:rPr>
                <w:rFonts w:ascii="Arial" w:hAnsi="Arial"/>
                <w:b/>
                <w:bCs/>
                <w:color w:val="FFFFFF" w:themeColor="background1"/>
                <w:sz w:val="19"/>
                <w:szCs w:val="19"/>
              </w:rPr>
              <w:t>Audit Responses</w:t>
            </w:r>
          </w:p>
        </w:tc>
      </w:tr>
      <w:tr w:rsidR="00F20D72" w:rsidRPr="002D48D7" w14:paraId="59443D80" w14:textId="77777777" w:rsidTr="00B124B0">
        <w:trPr>
          <w:trHeight w:val="1938"/>
        </w:trPr>
        <w:tc>
          <w:tcPr>
            <w:tcW w:w="4121" w:type="dxa"/>
            <w:tcBorders>
              <w:bottom w:val="single" w:sz="4" w:space="0" w:color="auto"/>
            </w:tcBorders>
          </w:tcPr>
          <w:p w14:paraId="4D1D22A2" w14:textId="77777777" w:rsidR="00F20D72" w:rsidRPr="00B10A99" w:rsidRDefault="00F20D72" w:rsidP="00F20D72">
            <w:pPr>
              <w:tabs>
                <w:tab w:val="left" w:pos="450"/>
                <w:tab w:val="left" w:pos="540"/>
              </w:tabs>
              <w:spacing w:after="0" w:line="360" w:lineRule="auto"/>
              <w:jc w:val="thaiDistribute"/>
              <w:rPr>
                <w:rFonts w:ascii="Arial" w:hAnsi="Arial"/>
                <w:i/>
                <w:iCs/>
                <w:sz w:val="19"/>
                <w:szCs w:val="19"/>
                <w:u w:val="single"/>
                <w:lang w:val="en-US"/>
              </w:rPr>
            </w:pPr>
          </w:p>
          <w:p w14:paraId="2EF48034" w14:textId="0D10437C" w:rsidR="00F20D72" w:rsidRPr="00777686" w:rsidRDefault="00F20D72" w:rsidP="00F20D72">
            <w:pPr>
              <w:tabs>
                <w:tab w:val="left" w:pos="450"/>
                <w:tab w:val="left" w:pos="540"/>
              </w:tabs>
              <w:spacing w:after="0" w:line="360" w:lineRule="auto"/>
              <w:jc w:val="thaiDistribute"/>
              <w:rPr>
                <w:rFonts w:ascii="Arial" w:hAnsi="Arial" w:cstheme="minorBidi"/>
                <w:b/>
                <w:bCs/>
                <w:sz w:val="19"/>
                <w:szCs w:val="24"/>
                <w:lang w:bidi="th-TH"/>
              </w:rPr>
            </w:pPr>
            <w:r w:rsidRPr="00777686">
              <w:rPr>
                <w:rFonts w:ascii="Arial" w:hAnsi="Arial"/>
                <w:b/>
                <w:bCs/>
                <w:sz w:val="19"/>
                <w:szCs w:val="19"/>
              </w:rPr>
              <w:t>Recognition of revenue from services</w:t>
            </w:r>
          </w:p>
          <w:p w14:paraId="6E5A5272" w14:textId="77777777" w:rsidR="001F3D21" w:rsidRDefault="001F3D21" w:rsidP="00F57BD2">
            <w:pPr>
              <w:pStyle w:val="BodyText"/>
              <w:spacing w:after="0" w:line="360" w:lineRule="auto"/>
              <w:jc w:val="thaiDistribute"/>
              <w:rPr>
                <w:rFonts w:ascii="Arial" w:hAnsi="Arial"/>
                <w:spacing w:val="-4"/>
                <w:sz w:val="19"/>
                <w:szCs w:val="19"/>
              </w:rPr>
            </w:pPr>
          </w:p>
          <w:p w14:paraId="16164D1B" w14:textId="559CEB2D" w:rsidR="00C73034" w:rsidRDefault="00204FAD" w:rsidP="00C73034">
            <w:pPr>
              <w:pStyle w:val="BodyText"/>
              <w:spacing w:line="360" w:lineRule="auto"/>
              <w:jc w:val="thaiDistribute"/>
              <w:rPr>
                <w:rFonts w:ascii="Arial" w:hAnsi="Arial"/>
                <w:spacing w:val="-4"/>
                <w:sz w:val="19"/>
                <w:szCs w:val="19"/>
              </w:rPr>
            </w:pPr>
            <w:r w:rsidRPr="00204FAD">
              <w:rPr>
                <w:rFonts w:ascii="Arial" w:hAnsi="Arial"/>
                <w:spacing w:val="-4"/>
                <w:sz w:val="19"/>
                <w:szCs w:val="19"/>
              </w:rPr>
              <w:t>The Group has revenue from domestic and international freight forwarding, including warehousing services. For the year ended 31 December 2025, the Group and the Company recognized service revenue amounting to Baht 4,656.48 million and Baht 1,277.72 million, respectively</w:t>
            </w:r>
            <w:r w:rsidR="00C73034">
              <w:rPr>
                <w:rFonts w:ascii="Arial" w:hAnsi="Arial"/>
                <w:spacing w:val="-4"/>
                <w:sz w:val="19"/>
                <w:szCs w:val="19"/>
              </w:rPr>
              <w:t>.</w:t>
            </w:r>
          </w:p>
          <w:p w14:paraId="3D8F6A74" w14:textId="2CAE9388" w:rsidR="00204FAD" w:rsidRDefault="00204FAD" w:rsidP="00BA6AE8">
            <w:pPr>
              <w:pStyle w:val="BodyText"/>
              <w:spacing w:line="360" w:lineRule="auto"/>
              <w:jc w:val="thaiDistribute"/>
              <w:rPr>
                <w:rFonts w:ascii="Arial" w:hAnsi="Arial"/>
                <w:spacing w:val="-4"/>
                <w:sz w:val="19"/>
                <w:szCs w:val="19"/>
              </w:rPr>
            </w:pPr>
            <w:r w:rsidRPr="00204FAD">
              <w:rPr>
                <w:rFonts w:ascii="Arial" w:hAnsi="Arial"/>
                <w:spacing w:val="-4"/>
                <w:sz w:val="19"/>
                <w:szCs w:val="19"/>
              </w:rPr>
              <w:t>I focused on the audit of revenue recognition because it is material to the financial statements and the nature of transactions is diverse depending on the type of services provided, such as sea freight, air freight, land transportation, cross-border</w:t>
            </w:r>
            <w:r>
              <w:rPr>
                <w:rFonts w:ascii="Arial" w:hAnsi="Arial"/>
                <w:spacing w:val="-4"/>
                <w:sz w:val="19"/>
                <w:szCs w:val="19"/>
              </w:rPr>
              <w:t xml:space="preserve"> </w:t>
            </w:r>
            <w:r w:rsidRPr="00204FAD">
              <w:rPr>
                <w:rFonts w:ascii="Arial" w:hAnsi="Arial"/>
                <w:spacing w:val="-4"/>
                <w:sz w:val="19"/>
                <w:szCs w:val="19"/>
              </w:rPr>
              <w:t>transportation, multimodal transportation, and warehousing services. Each type of service has different contractual terms and service arrangements. Management is therefore required to exercise significant judgment in identifying performance obligations under contracts, determining the appropriate point in time or period for revenue recognition, and assessing whether the Group acts as a principal or an agent in providing the services, which affects whether revenue is presented on a gross or net basis in the financial statements.</w:t>
            </w:r>
          </w:p>
          <w:p w14:paraId="345B3E79" w14:textId="77777777" w:rsidR="00F56EDD" w:rsidRDefault="00F56EDD" w:rsidP="00BA6AE8">
            <w:pPr>
              <w:pStyle w:val="BodyText"/>
              <w:spacing w:line="360" w:lineRule="auto"/>
              <w:jc w:val="thaiDistribute"/>
              <w:rPr>
                <w:rFonts w:ascii="Arial" w:hAnsi="Arial"/>
                <w:spacing w:val="-4"/>
                <w:sz w:val="19"/>
                <w:szCs w:val="19"/>
              </w:rPr>
            </w:pPr>
          </w:p>
          <w:p w14:paraId="462442CB" w14:textId="77777777" w:rsidR="00F56EDD" w:rsidRDefault="00F56EDD" w:rsidP="00BA6AE8">
            <w:pPr>
              <w:pStyle w:val="BodyText"/>
              <w:spacing w:line="360" w:lineRule="auto"/>
              <w:jc w:val="thaiDistribute"/>
              <w:rPr>
                <w:rFonts w:ascii="Arial" w:hAnsi="Arial"/>
                <w:spacing w:val="-4"/>
                <w:sz w:val="19"/>
                <w:szCs w:val="19"/>
              </w:rPr>
            </w:pPr>
          </w:p>
          <w:p w14:paraId="27E85F80" w14:textId="77777777" w:rsidR="00530015" w:rsidRDefault="00530015" w:rsidP="00BA6AE8">
            <w:pPr>
              <w:pStyle w:val="BodyText"/>
              <w:spacing w:line="360" w:lineRule="auto"/>
              <w:jc w:val="thaiDistribute"/>
              <w:rPr>
                <w:rFonts w:ascii="Arial" w:hAnsi="Arial"/>
                <w:spacing w:val="-4"/>
                <w:sz w:val="19"/>
                <w:szCs w:val="19"/>
              </w:rPr>
            </w:pPr>
          </w:p>
          <w:p w14:paraId="7CACBF41" w14:textId="77777777" w:rsidR="00F56EDD" w:rsidRDefault="00F56EDD" w:rsidP="00BA6AE8">
            <w:pPr>
              <w:pStyle w:val="BodyText"/>
              <w:spacing w:line="360" w:lineRule="auto"/>
              <w:jc w:val="thaiDistribute"/>
              <w:rPr>
                <w:rFonts w:ascii="Arial" w:hAnsi="Arial"/>
                <w:spacing w:val="-4"/>
                <w:sz w:val="19"/>
                <w:szCs w:val="19"/>
              </w:rPr>
            </w:pPr>
          </w:p>
          <w:p w14:paraId="53D033E7" w14:textId="77777777" w:rsidR="007C73AF" w:rsidRPr="00204FAD" w:rsidRDefault="007C73AF" w:rsidP="00BA6AE8">
            <w:pPr>
              <w:pStyle w:val="BodyText"/>
              <w:spacing w:line="360" w:lineRule="auto"/>
              <w:jc w:val="thaiDistribute"/>
              <w:rPr>
                <w:rFonts w:ascii="Arial" w:hAnsi="Arial"/>
                <w:spacing w:val="-4"/>
                <w:sz w:val="19"/>
                <w:szCs w:val="19"/>
              </w:rPr>
            </w:pPr>
          </w:p>
          <w:p w14:paraId="11BBD884" w14:textId="68DE6849" w:rsidR="00F57BD2" w:rsidRPr="00B10A99" w:rsidRDefault="00204FAD" w:rsidP="00C73034">
            <w:pPr>
              <w:pStyle w:val="BodyText"/>
              <w:spacing w:line="360" w:lineRule="auto"/>
              <w:jc w:val="thaiDistribute"/>
              <w:rPr>
                <w:rFonts w:ascii="Arial" w:hAnsi="Arial"/>
                <w:spacing w:val="-4"/>
                <w:sz w:val="19"/>
                <w:szCs w:val="19"/>
              </w:rPr>
            </w:pPr>
            <w:r w:rsidRPr="00204FAD">
              <w:rPr>
                <w:rFonts w:ascii="Arial" w:hAnsi="Arial"/>
                <w:spacing w:val="-4"/>
                <w:sz w:val="19"/>
                <w:szCs w:val="19"/>
              </w:rPr>
              <w:lastRenderedPageBreak/>
              <w:t>The Group discloses its accounting policies relating to revenue recognition in Note 4.16 to the financial statements, which describes the criteria for recognizing revenue when performance obligations under contracts have been satisfied, and revenue is recognized over time based on the nature of the respective performance obligations.</w:t>
            </w:r>
          </w:p>
          <w:p w14:paraId="743AAC6F" w14:textId="77777777" w:rsidR="00AA5B63" w:rsidRDefault="00AA5B63" w:rsidP="00F20D72">
            <w:pPr>
              <w:pStyle w:val="BodyText"/>
              <w:spacing w:line="360" w:lineRule="auto"/>
              <w:jc w:val="thaiDistribute"/>
              <w:rPr>
                <w:rFonts w:ascii="Arial" w:hAnsi="Arial"/>
                <w:spacing w:val="-4"/>
                <w:sz w:val="19"/>
                <w:szCs w:val="19"/>
              </w:rPr>
            </w:pPr>
          </w:p>
          <w:p w14:paraId="401268D4" w14:textId="77777777" w:rsidR="00AA5B63" w:rsidRDefault="00AA5B63" w:rsidP="00F20D72">
            <w:pPr>
              <w:pStyle w:val="BodyText"/>
              <w:spacing w:line="360" w:lineRule="auto"/>
              <w:jc w:val="thaiDistribute"/>
              <w:rPr>
                <w:rFonts w:ascii="Arial" w:hAnsi="Arial"/>
                <w:spacing w:val="-4"/>
                <w:sz w:val="19"/>
                <w:szCs w:val="19"/>
              </w:rPr>
            </w:pPr>
          </w:p>
          <w:p w14:paraId="27B9509D" w14:textId="77777777" w:rsidR="00177104" w:rsidRDefault="00177104" w:rsidP="00F20D72">
            <w:pPr>
              <w:pStyle w:val="BodyText"/>
              <w:spacing w:line="360" w:lineRule="auto"/>
              <w:jc w:val="thaiDistribute"/>
              <w:rPr>
                <w:rFonts w:ascii="Arial" w:hAnsi="Arial"/>
                <w:spacing w:val="-4"/>
                <w:sz w:val="19"/>
                <w:szCs w:val="19"/>
              </w:rPr>
            </w:pPr>
          </w:p>
          <w:p w14:paraId="7C5B627F" w14:textId="77777777" w:rsidR="000F6B2A" w:rsidRDefault="000F6B2A" w:rsidP="00F20D72">
            <w:pPr>
              <w:pStyle w:val="BodyText"/>
              <w:spacing w:line="360" w:lineRule="auto"/>
              <w:jc w:val="thaiDistribute"/>
              <w:rPr>
                <w:rFonts w:ascii="Arial" w:hAnsi="Arial"/>
                <w:spacing w:val="-4"/>
                <w:sz w:val="19"/>
                <w:szCs w:val="19"/>
              </w:rPr>
            </w:pPr>
          </w:p>
          <w:p w14:paraId="559FA57D" w14:textId="33EDF5F1" w:rsidR="00F20D72" w:rsidRPr="002956A3" w:rsidRDefault="00F20D72" w:rsidP="00F20D72">
            <w:pPr>
              <w:tabs>
                <w:tab w:val="left" w:pos="450"/>
                <w:tab w:val="left" w:pos="540"/>
              </w:tabs>
              <w:spacing w:after="0" w:line="360" w:lineRule="auto"/>
              <w:jc w:val="thaiDistribute"/>
              <w:rPr>
                <w:rFonts w:ascii="Arial" w:hAnsi="Arial" w:cstheme="minorBidi"/>
                <w:sz w:val="19"/>
                <w:szCs w:val="24"/>
                <w:lang w:val="en-US" w:bidi="th-TH"/>
              </w:rPr>
            </w:pPr>
          </w:p>
        </w:tc>
        <w:tc>
          <w:tcPr>
            <w:tcW w:w="4349" w:type="dxa"/>
            <w:tcBorders>
              <w:bottom w:val="single" w:sz="4" w:space="0" w:color="auto"/>
            </w:tcBorders>
          </w:tcPr>
          <w:p w14:paraId="0A4109CB" w14:textId="77777777" w:rsidR="00051BAE" w:rsidRDefault="00051BAE" w:rsidP="00051BAE">
            <w:pPr>
              <w:tabs>
                <w:tab w:val="left" w:pos="450"/>
                <w:tab w:val="left" w:pos="540"/>
              </w:tabs>
              <w:spacing w:after="0" w:line="360" w:lineRule="auto"/>
              <w:jc w:val="thaiDistribute"/>
              <w:rPr>
                <w:rFonts w:ascii="Arial" w:hAnsi="Arial"/>
                <w:b/>
                <w:bCs/>
                <w:i/>
                <w:iCs/>
                <w:sz w:val="19"/>
                <w:szCs w:val="19"/>
              </w:rPr>
            </w:pPr>
          </w:p>
          <w:p w14:paraId="312BC023" w14:textId="77777777" w:rsidR="001D1C0B" w:rsidRDefault="001D1C0B" w:rsidP="00051BAE">
            <w:pPr>
              <w:tabs>
                <w:tab w:val="left" w:pos="450"/>
                <w:tab w:val="left" w:pos="540"/>
              </w:tabs>
              <w:spacing w:after="0" w:line="360" w:lineRule="auto"/>
              <w:jc w:val="thaiDistribute"/>
              <w:rPr>
                <w:rFonts w:ascii="Arial" w:hAnsi="Arial"/>
                <w:b/>
                <w:bCs/>
                <w:i/>
                <w:iCs/>
                <w:sz w:val="19"/>
                <w:szCs w:val="19"/>
              </w:rPr>
            </w:pPr>
          </w:p>
          <w:p w14:paraId="464DA90E" w14:textId="77777777" w:rsidR="001D1C0B" w:rsidRDefault="001D1C0B" w:rsidP="00051BAE">
            <w:pPr>
              <w:tabs>
                <w:tab w:val="left" w:pos="450"/>
                <w:tab w:val="left" w:pos="540"/>
              </w:tabs>
              <w:spacing w:after="0" w:line="360" w:lineRule="auto"/>
              <w:jc w:val="thaiDistribute"/>
              <w:rPr>
                <w:rFonts w:ascii="Arial" w:hAnsi="Arial"/>
                <w:b/>
                <w:bCs/>
                <w:i/>
                <w:iCs/>
                <w:sz w:val="19"/>
                <w:szCs w:val="19"/>
              </w:rPr>
            </w:pPr>
          </w:p>
          <w:p w14:paraId="606E39B7" w14:textId="77981EC3" w:rsidR="00051BAE" w:rsidRDefault="00204FAD" w:rsidP="00973836">
            <w:pPr>
              <w:tabs>
                <w:tab w:val="left" w:pos="450"/>
                <w:tab w:val="left" w:pos="540"/>
              </w:tabs>
              <w:spacing w:after="0" w:line="360" w:lineRule="auto"/>
              <w:jc w:val="thaiDistribute"/>
              <w:rPr>
                <w:rFonts w:ascii="Arial" w:hAnsi="Arial"/>
                <w:sz w:val="19"/>
                <w:szCs w:val="19"/>
              </w:rPr>
            </w:pPr>
            <w:r w:rsidRPr="00973836">
              <w:rPr>
                <w:rFonts w:ascii="Arial" w:hAnsi="Arial"/>
                <w:sz w:val="19"/>
                <w:szCs w:val="19"/>
              </w:rPr>
              <w:t>My audit procedures are summarized as follow:</w:t>
            </w:r>
          </w:p>
          <w:p w14:paraId="671CD4D4" w14:textId="5FFAF786" w:rsidR="00204FAD" w:rsidRDefault="00204FAD" w:rsidP="0007593E">
            <w:pPr>
              <w:pStyle w:val="BodyText"/>
              <w:numPr>
                <w:ilvl w:val="0"/>
                <w:numId w:val="17"/>
              </w:numPr>
              <w:spacing w:line="360" w:lineRule="auto"/>
              <w:ind w:left="181" w:hanging="142"/>
              <w:jc w:val="thaiDistribute"/>
              <w:rPr>
                <w:rFonts w:ascii="Arial" w:hAnsi="Arial"/>
                <w:spacing w:val="-4"/>
                <w:sz w:val="19"/>
                <w:szCs w:val="19"/>
              </w:rPr>
            </w:pPr>
            <w:r w:rsidRPr="00204FAD">
              <w:rPr>
                <w:rFonts w:ascii="Arial" w:hAnsi="Arial"/>
                <w:spacing w:val="-4"/>
                <w:sz w:val="19"/>
                <w:szCs w:val="19"/>
              </w:rPr>
              <w:t>Obtained an understanding, evaluated, and tested the controls relating to the revenue recognition process by inquiries of relevant personnel and select samples to test key controls for revenue recording at the appropriate recognition points in accordance with the service conditions, including testing whether transactions were reviewed for accuracy and approved by authorized personnel.</w:t>
            </w:r>
          </w:p>
          <w:p w14:paraId="3AF8BE16" w14:textId="711A07E4" w:rsidR="00973836" w:rsidRPr="00973836" w:rsidRDefault="00204FAD" w:rsidP="0007593E">
            <w:pPr>
              <w:pStyle w:val="BodyText"/>
              <w:numPr>
                <w:ilvl w:val="0"/>
                <w:numId w:val="17"/>
              </w:numPr>
              <w:spacing w:line="360" w:lineRule="auto"/>
              <w:ind w:left="181" w:hanging="142"/>
              <w:jc w:val="thaiDistribute"/>
              <w:rPr>
                <w:rFonts w:ascii="Arial" w:hAnsi="Arial"/>
                <w:spacing w:val="-4"/>
                <w:sz w:val="19"/>
                <w:szCs w:val="19"/>
              </w:rPr>
            </w:pPr>
            <w:r w:rsidRPr="00204FAD">
              <w:rPr>
                <w:rFonts w:ascii="Arial" w:hAnsi="Arial"/>
                <w:spacing w:val="-4"/>
                <w:sz w:val="19"/>
                <w:szCs w:val="19"/>
              </w:rPr>
              <w:t xml:space="preserve">Examined sample of service agreements and contracts with customers for each type of service </w:t>
            </w:r>
            <w:proofErr w:type="gramStart"/>
            <w:r w:rsidRPr="00204FAD">
              <w:rPr>
                <w:rFonts w:ascii="Arial" w:hAnsi="Arial"/>
                <w:spacing w:val="-4"/>
                <w:sz w:val="19"/>
                <w:szCs w:val="19"/>
              </w:rPr>
              <w:t>in order to</w:t>
            </w:r>
            <w:proofErr w:type="gramEnd"/>
            <w:r w:rsidRPr="00204FAD">
              <w:rPr>
                <w:rFonts w:ascii="Arial" w:hAnsi="Arial"/>
                <w:spacing w:val="-4"/>
                <w:sz w:val="19"/>
                <w:szCs w:val="19"/>
              </w:rPr>
              <w:t xml:space="preserve"> assess the identification of performance obligations, pricing arrangements and the allocation of transaction price to each performance obligation, and the determination of the timing of revenue recognition as appropriate in accordance with contractual terms and complies with the financial reporting standards.</w:t>
            </w:r>
          </w:p>
          <w:p w14:paraId="77A8CFCF" w14:textId="74637A17" w:rsidR="00204FAD" w:rsidRDefault="00204FAD" w:rsidP="0007593E">
            <w:pPr>
              <w:pStyle w:val="BodyText"/>
              <w:numPr>
                <w:ilvl w:val="0"/>
                <w:numId w:val="17"/>
              </w:numPr>
              <w:spacing w:line="360" w:lineRule="auto"/>
              <w:ind w:left="181" w:hanging="142"/>
              <w:jc w:val="thaiDistribute"/>
              <w:rPr>
                <w:rFonts w:ascii="Arial" w:hAnsi="Arial"/>
                <w:spacing w:val="-4"/>
                <w:sz w:val="19"/>
                <w:szCs w:val="19"/>
              </w:rPr>
            </w:pPr>
            <w:r w:rsidRPr="00204FAD">
              <w:rPr>
                <w:rFonts w:ascii="Arial" w:hAnsi="Arial"/>
                <w:spacing w:val="-4"/>
                <w:sz w:val="19"/>
                <w:szCs w:val="19"/>
              </w:rPr>
              <w:t>Evaluated the</w:t>
            </w:r>
            <w:r>
              <w:rPr>
                <w:rFonts w:ascii="Arial" w:hAnsi="Arial"/>
                <w:spacing w:val="-4"/>
                <w:sz w:val="19"/>
                <w:szCs w:val="19"/>
              </w:rPr>
              <w:t xml:space="preserve"> </w:t>
            </w:r>
            <w:r w:rsidRPr="00204FAD">
              <w:rPr>
                <w:rFonts w:ascii="Arial" w:hAnsi="Arial"/>
                <w:spacing w:val="-4"/>
                <w:sz w:val="19"/>
                <w:szCs w:val="19"/>
              </w:rPr>
              <w:t>appropriateness of management’s assessment of whether the Group acts as a principal or an agent in providing the services by considering the Group’s control over the services before transfer to customers, its primary responsibility for fulfilling the services, and its exposure to related risks, in order to assess the appropriateness of presenting revenue on a gross or net basis in the financial statements.</w:t>
            </w:r>
          </w:p>
          <w:p w14:paraId="5D152D13" w14:textId="77777777" w:rsidR="00530015" w:rsidRPr="00204FAD" w:rsidRDefault="00530015" w:rsidP="00530015">
            <w:pPr>
              <w:pStyle w:val="BodyText"/>
              <w:spacing w:line="360" w:lineRule="auto"/>
              <w:ind w:left="181"/>
              <w:jc w:val="thaiDistribute"/>
              <w:rPr>
                <w:rFonts w:ascii="Arial" w:hAnsi="Arial"/>
                <w:spacing w:val="-4"/>
                <w:sz w:val="19"/>
                <w:szCs w:val="19"/>
              </w:rPr>
            </w:pPr>
          </w:p>
          <w:p w14:paraId="2239206D" w14:textId="77777777" w:rsidR="00204FAD" w:rsidRPr="00204FAD" w:rsidRDefault="00204FAD" w:rsidP="0007593E">
            <w:pPr>
              <w:pStyle w:val="BodyText"/>
              <w:numPr>
                <w:ilvl w:val="0"/>
                <w:numId w:val="17"/>
              </w:numPr>
              <w:spacing w:line="360" w:lineRule="auto"/>
              <w:ind w:left="181" w:hanging="142"/>
              <w:jc w:val="thaiDistribute"/>
              <w:rPr>
                <w:rFonts w:ascii="Arial" w:hAnsi="Arial"/>
                <w:spacing w:val="-4"/>
                <w:sz w:val="19"/>
                <w:szCs w:val="19"/>
              </w:rPr>
            </w:pPr>
            <w:r w:rsidRPr="00204FAD">
              <w:rPr>
                <w:rFonts w:ascii="Arial" w:hAnsi="Arial"/>
                <w:spacing w:val="-4"/>
                <w:sz w:val="19"/>
                <w:szCs w:val="19"/>
              </w:rPr>
              <w:lastRenderedPageBreak/>
              <w:t xml:space="preserve">Performed substantive testing of revenue transactions by selecting samples and examining supporting documents for the accounting records, such as invoices, bills of lading, and other relevant supporting documents, </w:t>
            </w:r>
            <w:proofErr w:type="gramStart"/>
            <w:r w:rsidRPr="00204FAD">
              <w:rPr>
                <w:rFonts w:ascii="Arial" w:hAnsi="Arial"/>
                <w:spacing w:val="-4"/>
                <w:sz w:val="19"/>
                <w:szCs w:val="19"/>
              </w:rPr>
              <w:t>in order to</w:t>
            </w:r>
            <w:proofErr w:type="gramEnd"/>
            <w:r w:rsidRPr="00204FAD">
              <w:rPr>
                <w:rFonts w:ascii="Arial" w:hAnsi="Arial"/>
                <w:spacing w:val="-4"/>
                <w:sz w:val="19"/>
                <w:szCs w:val="19"/>
              </w:rPr>
              <w:t xml:space="preserve"> assess the accuracy of the amounts recognized and the accounting period in which revenue was recognized.</w:t>
            </w:r>
          </w:p>
          <w:p w14:paraId="049DC28E" w14:textId="77777777" w:rsidR="00204FAD" w:rsidRPr="00204FAD" w:rsidRDefault="00204FAD" w:rsidP="0007593E">
            <w:pPr>
              <w:pStyle w:val="BodyText"/>
              <w:numPr>
                <w:ilvl w:val="0"/>
                <w:numId w:val="17"/>
              </w:numPr>
              <w:spacing w:line="360" w:lineRule="auto"/>
              <w:ind w:left="181" w:hanging="142"/>
              <w:jc w:val="thaiDistribute"/>
              <w:rPr>
                <w:rFonts w:ascii="Arial" w:hAnsi="Arial"/>
                <w:spacing w:val="-4"/>
                <w:sz w:val="19"/>
                <w:szCs w:val="19"/>
              </w:rPr>
            </w:pPr>
            <w:r w:rsidRPr="00204FAD">
              <w:rPr>
                <w:rFonts w:ascii="Arial" w:hAnsi="Arial"/>
                <w:spacing w:val="-4"/>
                <w:sz w:val="19"/>
                <w:szCs w:val="19"/>
              </w:rPr>
              <w:t>Tested revenue transactions occurring near the reporting date by determining the period before and after the year-end date based on the risks assessed from the terms and conditions of each type of service to evaluate that the Group recorded revenue in the correct accounting period.</w:t>
            </w:r>
          </w:p>
          <w:p w14:paraId="333D639B" w14:textId="77777777" w:rsidR="00204FAD" w:rsidRPr="00204FAD" w:rsidRDefault="00204FAD" w:rsidP="0007593E">
            <w:pPr>
              <w:pStyle w:val="BodyText"/>
              <w:numPr>
                <w:ilvl w:val="0"/>
                <w:numId w:val="17"/>
              </w:numPr>
              <w:spacing w:line="360" w:lineRule="auto"/>
              <w:ind w:left="181" w:hanging="142"/>
              <w:jc w:val="thaiDistribute"/>
              <w:rPr>
                <w:rFonts w:ascii="Arial" w:hAnsi="Arial"/>
                <w:spacing w:val="-4"/>
                <w:sz w:val="19"/>
                <w:szCs w:val="19"/>
              </w:rPr>
            </w:pPr>
            <w:r w:rsidRPr="00204FAD">
              <w:rPr>
                <w:rFonts w:ascii="Arial" w:hAnsi="Arial"/>
                <w:spacing w:val="-4"/>
                <w:sz w:val="19"/>
                <w:szCs w:val="19"/>
              </w:rPr>
              <w:t xml:space="preserve">Requesting the accounts receivable confirmation by focussing on customers with significant outstanding balances. This was to check that the Group’s revenue represents valid revenue transactions and that the trade receivables exist. </w:t>
            </w:r>
          </w:p>
          <w:p w14:paraId="37F0F0E1" w14:textId="46F59554" w:rsidR="00973836" w:rsidRPr="0087332B" w:rsidRDefault="00204FAD" w:rsidP="0007593E">
            <w:pPr>
              <w:pStyle w:val="BodyText"/>
              <w:numPr>
                <w:ilvl w:val="0"/>
                <w:numId w:val="17"/>
              </w:numPr>
              <w:spacing w:line="360" w:lineRule="auto"/>
              <w:ind w:left="181" w:hanging="142"/>
              <w:jc w:val="thaiDistribute"/>
              <w:rPr>
                <w:rFonts w:ascii="Arial" w:hAnsi="Arial"/>
                <w:spacing w:val="-4"/>
                <w:sz w:val="19"/>
                <w:szCs w:val="19"/>
              </w:rPr>
            </w:pPr>
            <w:r w:rsidRPr="00204FAD">
              <w:rPr>
                <w:rFonts w:ascii="Arial" w:hAnsi="Arial"/>
                <w:spacing w:val="-4"/>
                <w:sz w:val="19"/>
                <w:szCs w:val="19"/>
              </w:rPr>
              <w:t>Tested the appropriateness of journal entries and other adjustments relating to revenue to assess any unusual revenue transactions were recorded.</w:t>
            </w:r>
          </w:p>
          <w:p w14:paraId="395BE5EA" w14:textId="77777777" w:rsidR="00204FAD" w:rsidRPr="00204FAD" w:rsidRDefault="00204FAD" w:rsidP="0007593E">
            <w:pPr>
              <w:pStyle w:val="BodyText"/>
              <w:numPr>
                <w:ilvl w:val="0"/>
                <w:numId w:val="17"/>
              </w:numPr>
              <w:spacing w:line="360" w:lineRule="auto"/>
              <w:ind w:left="181" w:hanging="142"/>
              <w:jc w:val="thaiDistribute"/>
              <w:rPr>
                <w:rFonts w:ascii="Arial" w:hAnsi="Arial"/>
                <w:spacing w:val="-4"/>
                <w:sz w:val="19"/>
                <w:szCs w:val="19"/>
              </w:rPr>
            </w:pPr>
            <w:r w:rsidRPr="00204FAD">
              <w:rPr>
                <w:rFonts w:ascii="Arial" w:hAnsi="Arial"/>
                <w:spacing w:val="-4"/>
                <w:sz w:val="19"/>
                <w:szCs w:val="19"/>
              </w:rPr>
              <w:t>Assessed the appropriateness of the Group’s revenue recognition accounting policies as disclosed in the notes to the financial statements to determine that they are compliance with the applicable financial reporting standards.</w:t>
            </w:r>
          </w:p>
          <w:p w14:paraId="689C8FC4" w14:textId="560CBAF4" w:rsidR="00C716B6" w:rsidRPr="00204FAD" w:rsidRDefault="00204FAD" w:rsidP="00B124B0">
            <w:pPr>
              <w:pStyle w:val="BodyText"/>
              <w:spacing w:line="360" w:lineRule="auto"/>
              <w:ind w:left="-14"/>
              <w:jc w:val="thaiDistribute"/>
              <w:rPr>
                <w:rFonts w:ascii="Arial" w:hAnsi="Arial"/>
                <w:spacing w:val="-4"/>
                <w:sz w:val="19"/>
                <w:szCs w:val="19"/>
              </w:rPr>
            </w:pPr>
            <w:r w:rsidRPr="00204FAD">
              <w:rPr>
                <w:rFonts w:ascii="Arial" w:hAnsi="Arial"/>
                <w:spacing w:val="-4"/>
                <w:sz w:val="19"/>
                <w:szCs w:val="19"/>
              </w:rPr>
              <w:t>Based on the above procedures, I found that the recognition of revenue from services conformed to the Group’s accounting policy for revenue recognition and was properly supported by the audit evidence I obtained.</w:t>
            </w:r>
          </w:p>
        </w:tc>
      </w:tr>
    </w:tbl>
    <w:p w14:paraId="4469938C" w14:textId="77777777" w:rsidR="00B124B0" w:rsidRDefault="00B124B0"/>
    <w:p w14:paraId="0C52B58B" w14:textId="77777777" w:rsidR="00B124B0" w:rsidRDefault="00B124B0"/>
    <w:p w14:paraId="35C5039B" w14:textId="77777777" w:rsidR="00B124B0" w:rsidRDefault="00B124B0"/>
    <w:p w14:paraId="1B72C4A5" w14:textId="77777777" w:rsidR="007C73AF" w:rsidRDefault="007C73AF"/>
    <w:p w14:paraId="0E81A032" w14:textId="77777777" w:rsidR="007C73AF" w:rsidRDefault="007C73AF"/>
    <w:p w14:paraId="67B91179" w14:textId="77777777" w:rsidR="007C73AF" w:rsidRDefault="007C73AF"/>
    <w:tbl>
      <w:tblPr>
        <w:tblW w:w="847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1"/>
        <w:gridCol w:w="4349"/>
        <w:gridCol w:w="7"/>
      </w:tblGrid>
      <w:tr w:rsidR="00B124B0" w:rsidRPr="002D48D7" w14:paraId="13C0A6D4" w14:textId="77777777" w:rsidTr="00B124B0">
        <w:trPr>
          <w:gridAfter w:val="1"/>
          <w:wAfter w:w="7" w:type="dxa"/>
          <w:tblHeader/>
        </w:trPr>
        <w:tc>
          <w:tcPr>
            <w:tcW w:w="4121" w:type="dxa"/>
            <w:tcBorders>
              <w:bottom w:val="single" w:sz="4" w:space="0" w:color="auto"/>
            </w:tcBorders>
            <w:shd w:val="clear" w:color="auto" w:fill="5D3597"/>
          </w:tcPr>
          <w:p w14:paraId="71796176" w14:textId="77777777" w:rsidR="00B124B0" w:rsidRPr="002D48D7" w:rsidRDefault="00B124B0" w:rsidP="006E23AA">
            <w:pPr>
              <w:autoSpaceDE w:val="0"/>
              <w:autoSpaceDN w:val="0"/>
              <w:adjustRightInd w:val="0"/>
              <w:spacing w:after="0" w:line="360" w:lineRule="auto"/>
              <w:rPr>
                <w:rFonts w:ascii="Arial" w:hAnsi="Arial"/>
                <w:b/>
                <w:bCs/>
                <w:color w:val="FFFFFF" w:themeColor="background1"/>
                <w:sz w:val="19"/>
                <w:szCs w:val="19"/>
              </w:rPr>
            </w:pPr>
            <w:r w:rsidRPr="002D48D7">
              <w:rPr>
                <w:rFonts w:ascii="Arial" w:hAnsi="Arial"/>
                <w:b/>
                <w:bCs/>
                <w:color w:val="FFFFFF" w:themeColor="background1"/>
                <w:sz w:val="19"/>
                <w:szCs w:val="19"/>
              </w:rPr>
              <w:lastRenderedPageBreak/>
              <w:t>Key audit matters</w:t>
            </w:r>
          </w:p>
        </w:tc>
        <w:tc>
          <w:tcPr>
            <w:tcW w:w="4349" w:type="dxa"/>
            <w:tcBorders>
              <w:bottom w:val="single" w:sz="4" w:space="0" w:color="auto"/>
            </w:tcBorders>
            <w:shd w:val="clear" w:color="auto" w:fill="5D3597"/>
          </w:tcPr>
          <w:p w14:paraId="589CD5BD" w14:textId="77777777" w:rsidR="00B124B0" w:rsidRPr="002D48D7" w:rsidRDefault="00B124B0" w:rsidP="006E23AA">
            <w:pPr>
              <w:autoSpaceDE w:val="0"/>
              <w:autoSpaceDN w:val="0"/>
              <w:adjustRightInd w:val="0"/>
              <w:spacing w:after="0" w:line="360" w:lineRule="auto"/>
              <w:rPr>
                <w:rFonts w:ascii="Arial" w:hAnsi="Arial"/>
                <w:b/>
                <w:bCs/>
                <w:color w:val="FFFFFF" w:themeColor="background1"/>
                <w:sz w:val="19"/>
                <w:szCs w:val="19"/>
              </w:rPr>
            </w:pPr>
            <w:r w:rsidRPr="002D48D7">
              <w:rPr>
                <w:rFonts w:ascii="Arial" w:hAnsi="Arial"/>
                <w:b/>
                <w:bCs/>
                <w:color w:val="FFFFFF" w:themeColor="background1"/>
                <w:sz w:val="19"/>
                <w:szCs w:val="19"/>
              </w:rPr>
              <w:t>Audit Responses</w:t>
            </w:r>
          </w:p>
        </w:tc>
      </w:tr>
      <w:tr w:rsidR="00F57BD2" w14:paraId="03FE6316" w14:textId="51B8EDB8" w:rsidTr="00B124B0">
        <w:tblPrEx>
          <w:tblLook w:val="0000" w:firstRow="0" w:lastRow="0" w:firstColumn="0" w:lastColumn="0" w:noHBand="0" w:noVBand="0"/>
        </w:tblPrEx>
        <w:trPr>
          <w:trHeight w:val="275"/>
        </w:trPr>
        <w:tc>
          <w:tcPr>
            <w:tcW w:w="4121" w:type="dxa"/>
          </w:tcPr>
          <w:p w14:paraId="02146051" w14:textId="77777777" w:rsidR="00BA6AE8" w:rsidRDefault="00BA6AE8" w:rsidP="00AA5B63">
            <w:pPr>
              <w:pStyle w:val="BodyText"/>
              <w:spacing w:line="360" w:lineRule="auto"/>
              <w:jc w:val="thaiDistribute"/>
              <w:rPr>
                <w:rFonts w:ascii="Arial" w:hAnsi="Arial"/>
                <w:b/>
                <w:bCs/>
                <w:i/>
                <w:iCs/>
                <w:color w:val="000000"/>
                <w:sz w:val="19"/>
                <w:szCs w:val="19"/>
              </w:rPr>
            </w:pPr>
          </w:p>
          <w:p w14:paraId="393DEEE7" w14:textId="23BC18E9" w:rsidR="00AA5B63" w:rsidRPr="00153494" w:rsidRDefault="007B3C2C" w:rsidP="00AA5B63">
            <w:pPr>
              <w:pStyle w:val="BodyText"/>
              <w:spacing w:line="360" w:lineRule="auto"/>
              <w:jc w:val="thaiDistribute"/>
              <w:rPr>
                <w:rFonts w:ascii="Arial" w:hAnsi="Arial"/>
                <w:b/>
                <w:bCs/>
                <w:color w:val="000000"/>
                <w:sz w:val="19"/>
                <w:szCs w:val="19"/>
              </w:rPr>
            </w:pPr>
            <w:r w:rsidRPr="00153494">
              <w:rPr>
                <w:rFonts w:ascii="Arial" w:hAnsi="Arial"/>
                <w:b/>
                <w:bCs/>
                <w:color w:val="000000"/>
                <w:sz w:val="19"/>
                <w:szCs w:val="19"/>
              </w:rPr>
              <w:t>Goodwill impairment assessment</w:t>
            </w:r>
          </w:p>
          <w:p w14:paraId="154F4EDE" w14:textId="66384152" w:rsidR="00204FAD" w:rsidRPr="00204FAD" w:rsidRDefault="00204FAD" w:rsidP="00C75CB1">
            <w:pPr>
              <w:pStyle w:val="BodyText"/>
              <w:spacing w:line="360" w:lineRule="auto"/>
              <w:ind w:left="-11"/>
              <w:jc w:val="thaiDistribute"/>
              <w:rPr>
                <w:rFonts w:ascii="Arial" w:hAnsi="Arial"/>
                <w:spacing w:val="-4"/>
                <w:sz w:val="19"/>
                <w:szCs w:val="19"/>
              </w:rPr>
            </w:pPr>
            <w:r w:rsidRPr="00204FAD">
              <w:rPr>
                <w:rFonts w:ascii="Arial" w:hAnsi="Arial"/>
                <w:spacing w:val="-4"/>
                <w:sz w:val="19"/>
                <w:szCs w:val="19"/>
              </w:rPr>
              <w:t xml:space="preserve">As </w:t>
            </w:r>
            <w:proofErr w:type="gramStart"/>
            <w:r w:rsidRPr="00204FAD">
              <w:rPr>
                <w:rFonts w:ascii="Arial" w:hAnsi="Arial"/>
                <w:spacing w:val="-4"/>
                <w:sz w:val="19"/>
                <w:szCs w:val="19"/>
              </w:rPr>
              <w:t>at</w:t>
            </w:r>
            <w:proofErr w:type="gramEnd"/>
            <w:r w:rsidRPr="00204FAD">
              <w:rPr>
                <w:rFonts w:ascii="Arial" w:hAnsi="Arial"/>
                <w:spacing w:val="-4"/>
                <w:sz w:val="19"/>
                <w:szCs w:val="19"/>
              </w:rPr>
              <w:t xml:space="preserve"> 31 December 2025, the Group had goodwill arising from business combinations of Baht 225.50 million presented in the consolidated statement of financial position.</w:t>
            </w:r>
          </w:p>
          <w:p w14:paraId="4A463294" w14:textId="7442FF7E" w:rsidR="00204FAD" w:rsidRPr="00204FAD" w:rsidRDefault="00204FAD" w:rsidP="00C75CB1">
            <w:pPr>
              <w:pStyle w:val="BodyText"/>
              <w:spacing w:line="360" w:lineRule="auto"/>
              <w:ind w:left="-11"/>
              <w:jc w:val="thaiDistribute"/>
              <w:rPr>
                <w:rFonts w:ascii="Arial" w:hAnsi="Arial"/>
                <w:spacing w:val="-4"/>
                <w:sz w:val="19"/>
                <w:szCs w:val="19"/>
              </w:rPr>
            </w:pPr>
            <w:r w:rsidRPr="00204FAD">
              <w:rPr>
                <w:rFonts w:ascii="Arial" w:hAnsi="Arial"/>
                <w:spacing w:val="-4"/>
                <w:sz w:val="19"/>
                <w:szCs w:val="19"/>
              </w:rPr>
              <w:t>According to Thai Accounting Standard No. 36, Impairment of Assets, the Group shall test the impairment of goodwill arisen from business combination, annually.</w:t>
            </w:r>
          </w:p>
          <w:p w14:paraId="1D74287F" w14:textId="77777777" w:rsidR="00204FAD" w:rsidRDefault="00204FAD" w:rsidP="00450879">
            <w:pPr>
              <w:pStyle w:val="BodyText"/>
              <w:spacing w:line="360" w:lineRule="auto"/>
              <w:ind w:left="-11"/>
              <w:jc w:val="thaiDistribute"/>
              <w:rPr>
                <w:rFonts w:ascii="Arial" w:hAnsi="Arial"/>
                <w:spacing w:val="-4"/>
                <w:sz w:val="19"/>
                <w:szCs w:val="19"/>
              </w:rPr>
            </w:pPr>
            <w:r w:rsidRPr="00204FAD">
              <w:rPr>
                <w:rFonts w:ascii="Arial" w:hAnsi="Arial"/>
                <w:spacing w:val="-4"/>
                <w:sz w:val="19"/>
                <w:szCs w:val="19"/>
              </w:rPr>
              <w:t>I focused on the impairment assessment of goodwill because the impairment test requires significant management judgment in estimating the recoverable amount of the cash-generating unit. The recoverable amount is determined based on value in use calculations, which involve discounting estimated future cash flows, including determining an appropriate discount rate and long-term growth rate. The calculated recoverable amount is then compared with the carrying amount of the cash-generating unit to consider the need to set up an impairment allowance.</w:t>
            </w:r>
          </w:p>
          <w:p w14:paraId="0C425EAA" w14:textId="77777777" w:rsidR="00204FAD" w:rsidRDefault="00204FAD" w:rsidP="00450879">
            <w:pPr>
              <w:pStyle w:val="BodyText"/>
              <w:spacing w:line="360" w:lineRule="auto"/>
              <w:ind w:left="-11"/>
              <w:jc w:val="thaiDistribute"/>
              <w:rPr>
                <w:rFonts w:ascii="Arial" w:hAnsi="Arial"/>
                <w:spacing w:val="-4"/>
                <w:sz w:val="19"/>
                <w:szCs w:val="19"/>
              </w:rPr>
            </w:pPr>
            <w:r w:rsidRPr="00204FAD">
              <w:rPr>
                <w:rFonts w:ascii="Arial" w:hAnsi="Arial"/>
                <w:spacing w:val="-4"/>
                <w:sz w:val="19"/>
                <w:szCs w:val="19"/>
              </w:rPr>
              <w:t>The key assumptions used in these estimates may change in response to economic conditions, current market situations, and entity-specific risks, which could have a material impact on the financial statements. Accordingly, I determined the impairment assessment of goodwill to be a key audit matter.</w:t>
            </w:r>
          </w:p>
          <w:p w14:paraId="12928B13" w14:textId="77777777" w:rsidR="00F57BD2" w:rsidRDefault="00204FAD" w:rsidP="00100707">
            <w:pPr>
              <w:pStyle w:val="BodyText"/>
              <w:spacing w:after="0" w:line="360" w:lineRule="auto"/>
              <w:ind w:left="-11"/>
              <w:jc w:val="thaiDistribute"/>
              <w:rPr>
                <w:rFonts w:ascii="Arial" w:hAnsi="Arial"/>
                <w:spacing w:val="-4"/>
                <w:sz w:val="19"/>
                <w:szCs w:val="19"/>
              </w:rPr>
            </w:pPr>
            <w:r w:rsidRPr="00204FAD">
              <w:rPr>
                <w:rFonts w:ascii="Arial" w:hAnsi="Arial"/>
                <w:spacing w:val="-4"/>
                <w:sz w:val="19"/>
                <w:szCs w:val="19"/>
              </w:rPr>
              <w:t xml:space="preserve">The Group discloses the related accounting policies for goodwill in the notes to the financial statements, including Note 4.6 Accounting Policies </w:t>
            </w:r>
            <w:r w:rsidR="00450879">
              <w:rPr>
                <w:rFonts w:ascii="Arial" w:hAnsi="Arial"/>
                <w:spacing w:val="-4"/>
                <w:sz w:val="19"/>
                <w:szCs w:val="19"/>
              </w:rPr>
              <w:t>-</w:t>
            </w:r>
            <w:r w:rsidRPr="00204FAD">
              <w:rPr>
                <w:rFonts w:ascii="Arial" w:hAnsi="Arial"/>
                <w:spacing w:val="-4"/>
                <w:sz w:val="19"/>
                <w:szCs w:val="19"/>
              </w:rPr>
              <w:t xml:space="preserve"> Goodwill, </w:t>
            </w:r>
            <w:proofErr w:type="gramStart"/>
            <w:r w:rsidRPr="00204FAD">
              <w:rPr>
                <w:rFonts w:ascii="Arial" w:hAnsi="Arial"/>
                <w:spacing w:val="-4"/>
                <w:sz w:val="19"/>
                <w:szCs w:val="19"/>
              </w:rPr>
              <w:t>Note</w:t>
            </w:r>
            <w:proofErr w:type="gramEnd"/>
            <w:r w:rsidRPr="00204FAD">
              <w:rPr>
                <w:rFonts w:ascii="Arial" w:hAnsi="Arial"/>
                <w:spacing w:val="-4"/>
                <w:sz w:val="19"/>
                <w:szCs w:val="19"/>
              </w:rPr>
              <w:t xml:space="preserve"> 7 </w:t>
            </w:r>
            <w:r w:rsidR="00153494">
              <w:rPr>
                <w:rFonts w:ascii="Arial" w:hAnsi="Arial"/>
                <w:spacing w:val="-4"/>
                <w:sz w:val="19"/>
                <w:szCs w:val="19"/>
              </w:rPr>
              <w:t>E</w:t>
            </w:r>
            <w:r w:rsidRPr="00204FAD">
              <w:rPr>
                <w:rFonts w:ascii="Arial" w:hAnsi="Arial"/>
                <w:spacing w:val="-4"/>
                <w:sz w:val="19"/>
                <w:szCs w:val="19"/>
              </w:rPr>
              <w:t xml:space="preserve">stimates and </w:t>
            </w:r>
            <w:r w:rsidR="00153494">
              <w:rPr>
                <w:rFonts w:ascii="Arial" w:hAnsi="Arial"/>
                <w:spacing w:val="-4"/>
                <w:sz w:val="19"/>
                <w:szCs w:val="19"/>
              </w:rPr>
              <w:t>J</w:t>
            </w:r>
            <w:r w:rsidRPr="00204FAD">
              <w:rPr>
                <w:rFonts w:ascii="Arial" w:hAnsi="Arial"/>
                <w:spacing w:val="-4"/>
                <w:sz w:val="19"/>
                <w:szCs w:val="19"/>
              </w:rPr>
              <w:t>udgments, and Note 18 Goodwill.</w:t>
            </w:r>
          </w:p>
          <w:p w14:paraId="43CF550B" w14:textId="146EF59C" w:rsidR="00153494" w:rsidRPr="00100707" w:rsidRDefault="00153494" w:rsidP="00100707">
            <w:pPr>
              <w:pStyle w:val="BodyText"/>
              <w:spacing w:after="0" w:line="360" w:lineRule="auto"/>
              <w:ind w:left="-11"/>
              <w:jc w:val="thaiDistribute"/>
              <w:rPr>
                <w:rFonts w:ascii="Arial" w:hAnsi="Arial"/>
                <w:spacing w:val="-4"/>
                <w:sz w:val="19"/>
                <w:szCs w:val="19"/>
              </w:rPr>
            </w:pPr>
          </w:p>
        </w:tc>
        <w:tc>
          <w:tcPr>
            <w:tcW w:w="4356" w:type="dxa"/>
            <w:gridSpan w:val="2"/>
          </w:tcPr>
          <w:p w14:paraId="6CEA4F58" w14:textId="77777777" w:rsidR="00BA6AE8" w:rsidRDefault="00BA6AE8" w:rsidP="00973836">
            <w:pPr>
              <w:pStyle w:val="BodyText"/>
              <w:spacing w:line="360" w:lineRule="auto"/>
              <w:jc w:val="thaiDistribute"/>
              <w:rPr>
                <w:rFonts w:ascii="Arial" w:hAnsi="Arial"/>
                <w:spacing w:val="-4"/>
                <w:sz w:val="19"/>
                <w:szCs w:val="19"/>
              </w:rPr>
            </w:pPr>
          </w:p>
          <w:p w14:paraId="5B654D96" w14:textId="77777777" w:rsidR="007E039A" w:rsidRDefault="007E039A" w:rsidP="00973836">
            <w:pPr>
              <w:pStyle w:val="BodyText"/>
              <w:spacing w:line="360" w:lineRule="auto"/>
              <w:jc w:val="thaiDistribute"/>
              <w:rPr>
                <w:rFonts w:ascii="Arial" w:hAnsi="Arial"/>
                <w:spacing w:val="-4"/>
                <w:sz w:val="19"/>
                <w:szCs w:val="19"/>
              </w:rPr>
            </w:pPr>
          </w:p>
          <w:p w14:paraId="6B578ED7" w14:textId="62BFA358" w:rsidR="00100707" w:rsidRDefault="00100707" w:rsidP="00973836">
            <w:pPr>
              <w:pStyle w:val="BodyText"/>
              <w:spacing w:line="360" w:lineRule="auto"/>
              <w:jc w:val="thaiDistribute"/>
              <w:rPr>
                <w:rFonts w:ascii="Arial" w:hAnsi="Arial"/>
                <w:spacing w:val="-4"/>
                <w:sz w:val="19"/>
                <w:szCs w:val="19"/>
              </w:rPr>
            </w:pPr>
            <w:r w:rsidRPr="00100707">
              <w:rPr>
                <w:rFonts w:ascii="Arial" w:hAnsi="Arial"/>
                <w:spacing w:val="-4"/>
                <w:sz w:val="19"/>
                <w:szCs w:val="19"/>
              </w:rPr>
              <w:t>My audit procedures are summarized as follow:</w:t>
            </w:r>
          </w:p>
          <w:p w14:paraId="6E84BCB5" w14:textId="06FD5FAC" w:rsidR="00C04B0D" w:rsidRPr="005F2212" w:rsidRDefault="00100707" w:rsidP="0007593E">
            <w:pPr>
              <w:pStyle w:val="BodyText"/>
              <w:numPr>
                <w:ilvl w:val="0"/>
                <w:numId w:val="17"/>
              </w:numPr>
              <w:spacing w:line="360" w:lineRule="auto"/>
              <w:ind w:left="181" w:hanging="142"/>
              <w:jc w:val="thaiDistribute"/>
              <w:rPr>
                <w:rFonts w:ascii="Arial" w:hAnsi="Arial"/>
                <w:spacing w:val="-4"/>
                <w:sz w:val="19"/>
                <w:szCs w:val="19"/>
                <w:cs/>
              </w:rPr>
            </w:pPr>
            <w:r w:rsidRPr="00100707">
              <w:rPr>
                <w:rFonts w:ascii="Arial" w:hAnsi="Arial"/>
                <w:spacing w:val="-4"/>
                <w:sz w:val="19"/>
                <w:szCs w:val="19"/>
              </w:rPr>
              <w:t>I obtained information about the forecasted future cash flows of the cash-generating unit provided by the Group’s management and gained an understanding of the procedures used to prepare the forecast.</w:t>
            </w:r>
          </w:p>
          <w:p w14:paraId="0ABEACB2" w14:textId="77777777" w:rsidR="00100707" w:rsidRDefault="00100707" w:rsidP="0007593E">
            <w:pPr>
              <w:pStyle w:val="BodyText"/>
              <w:numPr>
                <w:ilvl w:val="0"/>
                <w:numId w:val="17"/>
              </w:numPr>
              <w:spacing w:line="360" w:lineRule="auto"/>
              <w:ind w:left="181" w:hanging="142"/>
              <w:jc w:val="thaiDistribute"/>
              <w:rPr>
                <w:rFonts w:ascii="Arial" w:hAnsi="Arial"/>
                <w:spacing w:val="-4"/>
                <w:sz w:val="19"/>
                <w:szCs w:val="19"/>
              </w:rPr>
            </w:pPr>
            <w:r w:rsidRPr="00100707">
              <w:rPr>
                <w:rFonts w:ascii="Arial" w:hAnsi="Arial"/>
                <w:spacing w:val="-4"/>
                <w:sz w:val="19"/>
                <w:szCs w:val="19"/>
              </w:rPr>
              <w:t>Challenged the management to assess the reasonableness of the methods and key assumptions of the data in the cash flow projections.</w:t>
            </w:r>
          </w:p>
          <w:p w14:paraId="2E0B320A" w14:textId="77777777" w:rsidR="00100707" w:rsidRDefault="00100707" w:rsidP="0007593E">
            <w:pPr>
              <w:pStyle w:val="BodyText"/>
              <w:numPr>
                <w:ilvl w:val="0"/>
                <w:numId w:val="17"/>
              </w:numPr>
              <w:spacing w:line="360" w:lineRule="auto"/>
              <w:ind w:left="181" w:hanging="142"/>
              <w:jc w:val="thaiDistribute"/>
              <w:rPr>
                <w:rFonts w:ascii="Arial" w:hAnsi="Arial"/>
                <w:spacing w:val="-4"/>
                <w:sz w:val="19"/>
                <w:szCs w:val="19"/>
              </w:rPr>
            </w:pPr>
            <w:r w:rsidRPr="00100707">
              <w:rPr>
                <w:rFonts w:ascii="Arial" w:hAnsi="Arial"/>
                <w:spacing w:val="-4"/>
                <w:sz w:val="19"/>
                <w:szCs w:val="19"/>
              </w:rPr>
              <w:t>Involved a valuation expert in my office to evaluate the appropriateness of the discount rate applied and to test the calculations of that rate.</w:t>
            </w:r>
          </w:p>
          <w:p w14:paraId="762A5A67" w14:textId="5201558D" w:rsidR="00973836" w:rsidRPr="00C716B6" w:rsidRDefault="00100707" w:rsidP="0007593E">
            <w:pPr>
              <w:pStyle w:val="BodyText"/>
              <w:numPr>
                <w:ilvl w:val="0"/>
                <w:numId w:val="17"/>
              </w:numPr>
              <w:spacing w:line="360" w:lineRule="auto"/>
              <w:ind w:left="181" w:hanging="142"/>
              <w:jc w:val="thaiDistribute"/>
              <w:rPr>
                <w:rFonts w:ascii="Arial" w:hAnsi="Arial"/>
                <w:spacing w:val="-4"/>
                <w:sz w:val="19"/>
                <w:szCs w:val="19"/>
              </w:rPr>
            </w:pPr>
            <w:r w:rsidRPr="00100707">
              <w:rPr>
                <w:rFonts w:ascii="Arial" w:hAnsi="Arial"/>
                <w:spacing w:val="-4"/>
                <w:sz w:val="19"/>
                <w:szCs w:val="19"/>
              </w:rPr>
              <w:t>Mathematically tested key figures derived from the estimation according to the above assumptions to calculate the recoverable amount and compared this to the net book value.</w:t>
            </w:r>
          </w:p>
          <w:p w14:paraId="3A1C79BD" w14:textId="35A3BF1F" w:rsidR="00973836" w:rsidRPr="00C716B6" w:rsidRDefault="00100707" w:rsidP="0007593E">
            <w:pPr>
              <w:pStyle w:val="BodyText"/>
              <w:numPr>
                <w:ilvl w:val="0"/>
                <w:numId w:val="17"/>
              </w:numPr>
              <w:spacing w:line="360" w:lineRule="auto"/>
              <w:ind w:left="181" w:hanging="142"/>
              <w:jc w:val="thaiDistribute"/>
              <w:rPr>
                <w:rFonts w:ascii="Arial" w:hAnsi="Arial"/>
                <w:spacing w:val="-4"/>
                <w:sz w:val="19"/>
                <w:szCs w:val="19"/>
              </w:rPr>
            </w:pPr>
            <w:r w:rsidRPr="00100707">
              <w:rPr>
                <w:rFonts w:ascii="Arial" w:hAnsi="Arial"/>
                <w:spacing w:val="-4"/>
                <w:sz w:val="19"/>
                <w:szCs w:val="19"/>
              </w:rPr>
              <w:t>Assessed the adequacy and appropriateness of the Group’s disclosures relating to goodwill in the notes to the financial statements to determine that they ate compliance with the applicable financial reporting standards.</w:t>
            </w:r>
          </w:p>
          <w:p w14:paraId="3E849EA3" w14:textId="3CC26ABF" w:rsidR="00F57BD2" w:rsidRPr="005F2212" w:rsidRDefault="00100707" w:rsidP="00100707">
            <w:pPr>
              <w:pStyle w:val="BodyText"/>
              <w:spacing w:line="360" w:lineRule="auto"/>
              <w:ind w:left="-14"/>
              <w:jc w:val="thaiDistribute"/>
              <w:rPr>
                <w:rFonts w:ascii="Arial" w:hAnsi="Arial"/>
                <w:spacing w:val="-4"/>
                <w:sz w:val="19"/>
                <w:szCs w:val="19"/>
              </w:rPr>
            </w:pPr>
            <w:r w:rsidRPr="00100707">
              <w:rPr>
                <w:rFonts w:ascii="Arial" w:hAnsi="Arial"/>
                <w:spacing w:val="-4"/>
                <w:sz w:val="19"/>
                <w:szCs w:val="19"/>
              </w:rPr>
              <w:t>From the procedures performed above, I found that the recoverable amount assessment and management’s key assumptions were within the acceptable range.</w:t>
            </w:r>
          </w:p>
        </w:tc>
      </w:tr>
    </w:tbl>
    <w:p w14:paraId="7200DF4E" w14:textId="6E6E0269" w:rsidR="009E2F4E" w:rsidRDefault="009E2F4E" w:rsidP="007748E0">
      <w:pPr>
        <w:pStyle w:val="BodyText"/>
        <w:spacing w:after="0" w:line="360" w:lineRule="auto"/>
        <w:jc w:val="thaiDistribute"/>
        <w:rPr>
          <w:rFonts w:ascii="Arial" w:hAnsi="Arial"/>
          <w:i/>
          <w:iCs/>
          <w:color w:val="000000"/>
          <w:sz w:val="19"/>
          <w:szCs w:val="19"/>
        </w:rPr>
      </w:pPr>
    </w:p>
    <w:p w14:paraId="5183D505" w14:textId="77777777" w:rsidR="007C73AF" w:rsidRDefault="007C73AF" w:rsidP="007748E0">
      <w:pPr>
        <w:pStyle w:val="BodyText"/>
        <w:spacing w:after="0" w:line="360" w:lineRule="auto"/>
        <w:jc w:val="thaiDistribute"/>
        <w:rPr>
          <w:rFonts w:ascii="Arial" w:hAnsi="Arial"/>
          <w:i/>
          <w:iCs/>
          <w:color w:val="000000"/>
          <w:sz w:val="19"/>
          <w:szCs w:val="19"/>
        </w:rPr>
      </w:pPr>
    </w:p>
    <w:p w14:paraId="34088B46" w14:textId="77777777" w:rsidR="007C73AF" w:rsidRDefault="007C73AF" w:rsidP="007748E0">
      <w:pPr>
        <w:pStyle w:val="BodyText"/>
        <w:spacing w:after="0" w:line="360" w:lineRule="auto"/>
        <w:jc w:val="thaiDistribute"/>
        <w:rPr>
          <w:rFonts w:ascii="Arial" w:hAnsi="Arial"/>
          <w:i/>
          <w:iCs/>
          <w:color w:val="000000"/>
          <w:sz w:val="19"/>
          <w:szCs w:val="19"/>
        </w:rPr>
      </w:pPr>
    </w:p>
    <w:p w14:paraId="44CD8966" w14:textId="77777777" w:rsidR="007C73AF" w:rsidRDefault="007C73AF" w:rsidP="007748E0">
      <w:pPr>
        <w:pStyle w:val="BodyText"/>
        <w:spacing w:after="0" w:line="360" w:lineRule="auto"/>
        <w:jc w:val="thaiDistribute"/>
        <w:rPr>
          <w:rFonts w:ascii="Arial" w:hAnsi="Arial"/>
          <w:i/>
          <w:iCs/>
          <w:color w:val="000000"/>
          <w:sz w:val="19"/>
          <w:szCs w:val="19"/>
        </w:rPr>
      </w:pPr>
    </w:p>
    <w:p w14:paraId="3A29E83E" w14:textId="77777777" w:rsidR="00C316AD" w:rsidRDefault="00C316AD" w:rsidP="00C316AD">
      <w:pPr>
        <w:autoSpaceDE w:val="0"/>
        <w:autoSpaceDN w:val="0"/>
        <w:adjustRightInd w:val="0"/>
        <w:spacing w:after="0" w:line="360" w:lineRule="auto"/>
        <w:rPr>
          <w:rFonts w:ascii="Arial" w:hAnsi="Arial"/>
          <w:i/>
          <w:iCs/>
          <w:sz w:val="19"/>
          <w:szCs w:val="19"/>
          <w:lang w:val="en-US"/>
        </w:rPr>
      </w:pPr>
      <w:r w:rsidRPr="00AA5B63">
        <w:rPr>
          <w:rFonts w:ascii="Arial" w:hAnsi="Arial"/>
          <w:i/>
          <w:iCs/>
          <w:sz w:val="19"/>
          <w:szCs w:val="19"/>
          <w:lang w:val="en-US"/>
        </w:rPr>
        <w:lastRenderedPageBreak/>
        <w:t>Other Matters</w:t>
      </w:r>
    </w:p>
    <w:p w14:paraId="74BF586E" w14:textId="77777777" w:rsidR="00C316AD" w:rsidRPr="00AA5B63" w:rsidRDefault="00C316AD" w:rsidP="00C316AD">
      <w:pPr>
        <w:autoSpaceDE w:val="0"/>
        <w:autoSpaceDN w:val="0"/>
        <w:adjustRightInd w:val="0"/>
        <w:spacing w:after="0" w:line="360" w:lineRule="auto"/>
        <w:rPr>
          <w:rFonts w:ascii="Arial" w:hAnsi="Arial"/>
          <w:i/>
          <w:iCs/>
          <w:sz w:val="19"/>
          <w:szCs w:val="19"/>
          <w:lang w:val="en-US"/>
        </w:rPr>
      </w:pPr>
    </w:p>
    <w:p w14:paraId="4A59524B" w14:textId="7FCCA877" w:rsidR="00596C70" w:rsidRPr="00596C70" w:rsidRDefault="00C316AD" w:rsidP="00C316AD">
      <w:pPr>
        <w:autoSpaceDE w:val="0"/>
        <w:autoSpaceDN w:val="0"/>
        <w:adjustRightInd w:val="0"/>
        <w:spacing w:after="0" w:line="360" w:lineRule="auto"/>
        <w:jc w:val="thaiDistribute"/>
        <w:rPr>
          <w:rFonts w:ascii="Arial" w:hAnsi="Arial" w:cstheme="minorBidi"/>
          <w:sz w:val="19"/>
          <w:szCs w:val="24"/>
          <w:lang w:val="en-US" w:bidi="th-TH"/>
        </w:rPr>
      </w:pPr>
      <w:r w:rsidRPr="00AA5B63">
        <w:rPr>
          <w:rFonts w:ascii="Arial" w:hAnsi="Arial"/>
          <w:sz w:val="19"/>
          <w:szCs w:val="19"/>
          <w:lang w:val="en-US"/>
        </w:rPr>
        <w:t xml:space="preserve">The consolidated and separate financial statements of </w:t>
      </w:r>
      <w:r w:rsidRPr="00E564B0">
        <w:rPr>
          <w:rFonts w:ascii="Arial" w:hAnsi="Arial"/>
          <w:sz w:val="19"/>
          <w:szCs w:val="19"/>
        </w:rPr>
        <w:t>WICE Logistics</w:t>
      </w:r>
      <w:r w:rsidRPr="00AA5B63">
        <w:rPr>
          <w:rFonts w:ascii="Arial" w:hAnsi="Arial"/>
          <w:sz w:val="19"/>
          <w:szCs w:val="19"/>
          <w:lang w:val="en-US"/>
        </w:rPr>
        <w:t xml:space="preserve"> Public Company Limited and its subsidiaries for the year ended 31 December 202</w:t>
      </w:r>
      <w:r>
        <w:rPr>
          <w:rFonts w:ascii="Arial" w:hAnsi="Arial"/>
          <w:sz w:val="19"/>
          <w:szCs w:val="19"/>
          <w:lang w:val="en-US"/>
        </w:rPr>
        <w:t>4</w:t>
      </w:r>
      <w:r w:rsidRPr="00AA5B63">
        <w:rPr>
          <w:rFonts w:ascii="Arial" w:hAnsi="Arial"/>
          <w:sz w:val="19"/>
          <w:szCs w:val="19"/>
          <w:lang w:val="en-US"/>
        </w:rPr>
        <w:t>, presented as comparative information, were audited by another auditor</w:t>
      </w:r>
      <w:r>
        <w:rPr>
          <w:rFonts w:ascii="Arial" w:hAnsi="Arial" w:cstheme="minorBidi"/>
          <w:sz w:val="19"/>
          <w:szCs w:val="24"/>
          <w:lang w:val="en-US" w:bidi="th-TH"/>
        </w:rPr>
        <w:t xml:space="preserve">, </w:t>
      </w:r>
      <w:r w:rsidR="00596C70" w:rsidRPr="00596C70">
        <w:rPr>
          <w:rFonts w:ascii="Arial" w:hAnsi="Arial" w:cstheme="minorBidi"/>
          <w:sz w:val="19"/>
          <w:szCs w:val="24"/>
          <w:lang w:bidi="th-TH"/>
        </w:rPr>
        <w:t>who expressed an unmodified opinio</w:t>
      </w:r>
      <w:r w:rsidR="007C7B8D">
        <w:rPr>
          <w:rFonts w:ascii="Arial" w:hAnsi="Arial" w:cstheme="minorBidi"/>
          <w:sz w:val="19"/>
          <w:szCs w:val="24"/>
          <w:lang w:bidi="th-TH"/>
        </w:rPr>
        <w:t>n</w:t>
      </w:r>
      <w:r w:rsidR="00596C70" w:rsidRPr="00596C70">
        <w:rPr>
          <w:rFonts w:ascii="Arial" w:hAnsi="Arial" w:cstheme="minorBidi"/>
          <w:sz w:val="19"/>
          <w:szCs w:val="24"/>
          <w:lang w:bidi="th-TH"/>
        </w:rPr>
        <w:t xml:space="preserve"> with an </w:t>
      </w:r>
      <w:r w:rsidR="007770C6">
        <w:rPr>
          <w:rFonts w:ascii="Arial" w:hAnsi="Arial" w:cstheme="minorBidi"/>
          <w:sz w:val="19"/>
          <w:szCs w:val="24"/>
          <w:lang w:bidi="th-TH"/>
        </w:rPr>
        <w:t>e</w:t>
      </w:r>
      <w:r w:rsidR="00596C70" w:rsidRPr="00596C70">
        <w:rPr>
          <w:rFonts w:ascii="Arial" w:hAnsi="Arial" w:cstheme="minorBidi"/>
          <w:sz w:val="19"/>
          <w:szCs w:val="24"/>
          <w:lang w:bidi="th-TH"/>
        </w:rPr>
        <w:t xml:space="preserve">mphasis of </w:t>
      </w:r>
      <w:r w:rsidR="007770C6">
        <w:rPr>
          <w:rFonts w:ascii="Arial" w:hAnsi="Arial" w:cstheme="minorBidi"/>
          <w:sz w:val="19"/>
          <w:szCs w:val="24"/>
          <w:lang w:bidi="th-TH"/>
        </w:rPr>
        <w:t>m</w:t>
      </w:r>
      <w:r w:rsidR="00596C70" w:rsidRPr="00596C70">
        <w:rPr>
          <w:rFonts w:ascii="Arial" w:hAnsi="Arial" w:cstheme="minorBidi"/>
          <w:sz w:val="19"/>
          <w:szCs w:val="24"/>
          <w:lang w:bidi="th-TH"/>
        </w:rPr>
        <w:t>atter paragraph regarding the correction of errors and the reclassification of certain items in the financial statements, in the report dated 24 February 2025.</w:t>
      </w:r>
      <w:r w:rsidR="00596C70" w:rsidRPr="00596C70">
        <w:rPr>
          <w:rFonts w:ascii="Arial" w:hAnsi="Arial"/>
          <w:sz w:val="19"/>
          <w:szCs w:val="19"/>
          <w:lang w:val="en-US"/>
        </w:rPr>
        <w:t xml:space="preserve"> </w:t>
      </w:r>
    </w:p>
    <w:p w14:paraId="590BF103" w14:textId="77777777" w:rsidR="00C316AD" w:rsidRPr="00C316AD" w:rsidRDefault="00C316AD" w:rsidP="007748E0">
      <w:pPr>
        <w:pStyle w:val="BodyText"/>
        <w:spacing w:after="0" w:line="360" w:lineRule="auto"/>
        <w:jc w:val="thaiDistribute"/>
        <w:rPr>
          <w:rFonts w:ascii="Arial" w:hAnsi="Arial"/>
          <w:i/>
          <w:iCs/>
          <w:color w:val="000000"/>
          <w:sz w:val="19"/>
          <w:szCs w:val="19"/>
          <w:lang w:val="en-US"/>
        </w:rPr>
      </w:pPr>
    </w:p>
    <w:p w14:paraId="68E2D383" w14:textId="506978E1" w:rsidR="007748E0" w:rsidRPr="00121022" w:rsidRDefault="007748E0" w:rsidP="007748E0">
      <w:pPr>
        <w:pStyle w:val="BodyText"/>
        <w:spacing w:after="0" w:line="360" w:lineRule="auto"/>
        <w:jc w:val="thaiDistribute"/>
        <w:rPr>
          <w:rFonts w:ascii="Arial" w:hAnsi="Arial"/>
          <w:i/>
          <w:iCs/>
          <w:color w:val="000000"/>
          <w:sz w:val="19"/>
          <w:szCs w:val="19"/>
        </w:rPr>
      </w:pPr>
      <w:r w:rsidRPr="00121022">
        <w:rPr>
          <w:rFonts w:ascii="Arial" w:hAnsi="Arial"/>
          <w:i/>
          <w:iCs/>
          <w:color w:val="000000"/>
          <w:sz w:val="19"/>
          <w:szCs w:val="19"/>
        </w:rPr>
        <w:t>Other Information</w:t>
      </w:r>
    </w:p>
    <w:p w14:paraId="60D947F7" w14:textId="77777777" w:rsidR="007748E0" w:rsidRPr="008A0670" w:rsidRDefault="007748E0" w:rsidP="008A0670">
      <w:pPr>
        <w:pStyle w:val="BodyText"/>
        <w:spacing w:after="0" w:line="360" w:lineRule="auto"/>
        <w:jc w:val="thaiDistribute"/>
        <w:rPr>
          <w:rFonts w:ascii="Arial" w:hAnsi="Arial"/>
          <w:color w:val="000000"/>
          <w:sz w:val="19"/>
          <w:szCs w:val="19"/>
        </w:rPr>
      </w:pPr>
    </w:p>
    <w:p w14:paraId="646C630E" w14:textId="77777777" w:rsidR="00EE27A8" w:rsidRDefault="00EE27A8" w:rsidP="00F64AB6">
      <w:pPr>
        <w:pStyle w:val="BodyText"/>
        <w:spacing w:after="0" w:line="360" w:lineRule="auto"/>
        <w:jc w:val="thaiDistribute"/>
        <w:rPr>
          <w:rFonts w:ascii="Arial" w:hAnsi="Arial"/>
          <w:sz w:val="19"/>
          <w:szCs w:val="19"/>
        </w:rPr>
      </w:pPr>
      <w:r w:rsidRPr="00EE27A8">
        <w:rPr>
          <w:rFonts w:ascii="Arial" w:hAnsi="Arial"/>
          <w:sz w:val="19"/>
          <w:szCs w:val="19"/>
        </w:rPr>
        <w:t xml:space="preserve">The directors are responsible for the other information. The other information comprises the information included in the annual </w:t>
      </w:r>
      <w:proofErr w:type="gramStart"/>
      <w:r w:rsidRPr="00EE27A8">
        <w:rPr>
          <w:rFonts w:ascii="Arial" w:hAnsi="Arial"/>
          <w:sz w:val="19"/>
          <w:szCs w:val="19"/>
        </w:rPr>
        <w:t>report, but</w:t>
      </w:r>
      <w:proofErr w:type="gramEnd"/>
      <w:r w:rsidRPr="00EE27A8">
        <w:rPr>
          <w:rFonts w:ascii="Arial" w:hAnsi="Arial"/>
          <w:sz w:val="19"/>
          <w:szCs w:val="19"/>
        </w:rPr>
        <w:t xml:space="preserve"> does not include the consolidated and separate financial statements and my auditor’s report thereon. The annual report is expected to be made available to me after the date of this auditor's report.</w:t>
      </w:r>
    </w:p>
    <w:p w14:paraId="6A16F64B" w14:textId="77777777" w:rsidR="00EE27A8" w:rsidRPr="00EE27A8" w:rsidRDefault="00EE27A8" w:rsidP="00F64AB6">
      <w:pPr>
        <w:pStyle w:val="BodyText"/>
        <w:spacing w:after="0" w:line="360" w:lineRule="auto"/>
        <w:jc w:val="thaiDistribute"/>
        <w:rPr>
          <w:rFonts w:ascii="Arial" w:hAnsi="Arial"/>
          <w:sz w:val="19"/>
          <w:szCs w:val="19"/>
        </w:rPr>
      </w:pPr>
    </w:p>
    <w:p w14:paraId="631416C2" w14:textId="77777777" w:rsidR="00EE27A8" w:rsidRPr="00EE27A8" w:rsidRDefault="00EE27A8" w:rsidP="00F64AB6">
      <w:pPr>
        <w:pStyle w:val="BodyText"/>
        <w:spacing w:after="0" w:line="360" w:lineRule="auto"/>
        <w:jc w:val="thaiDistribute"/>
        <w:rPr>
          <w:rFonts w:ascii="Arial" w:hAnsi="Arial"/>
          <w:sz w:val="19"/>
          <w:szCs w:val="19"/>
        </w:rPr>
      </w:pPr>
      <w:r w:rsidRPr="00EE27A8">
        <w:rPr>
          <w:rFonts w:ascii="Arial" w:hAnsi="Arial"/>
          <w:sz w:val="19"/>
          <w:szCs w:val="19"/>
        </w:rPr>
        <w:t xml:space="preserve">My opinion on the consolidated and separate financial statements does not cover the other information and I will not express any form of assurance conclusion thereon. </w:t>
      </w:r>
    </w:p>
    <w:p w14:paraId="14BA0392" w14:textId="77777777" w:rsidR="00EE27A8" w:rsidRPr="00EE27A8" w:rsidRDefault="00EE27A8" w:rsidP="00F64AB6">
      <w:pPr>
        <w:pStyle w:val="BodyText"/>
        <w:spacing w:after="0" w:line="360" w:lineRule="auto"/>
        <w:jc w:val="thaiDistribute"/>
        <w:rPr>
          <w:rFonts w:ascii="Arial" w:hAnsi="Arial"/>
          <w:sz w:val="19"/>
          <w:szCs w:val="19"/>
        </w:rPr>
      </w:pPr>
    </w:p>
    <w:p w14:paraId="3F27AB84" w14:textId="77777777" w:rsidR="00EE27A8" w:rsidRPr="00EE27A8" w:rsidRDefault="00EE27A8" w:rsidP="00F64AB6">
      <w:pPr>
        <w:pStyle w:val="BodyText"/>
        <w:spacing w:after="0" w:line="360" w:lineRule="auto"/>
        <w:jc w:val="thaiDistribute"/>
        <w:rPr>
          <w:rFonts w:ascii="Arial" w:hAnsi="Arial"/>
          <w:sz w:val="19"/>
          <w:szCs w:val="19"/>
        </w:rPr>
      </w:pPr>
      <w:r w:rsidRPr="00EE27A8">
        <w:rPr>
          <w:rFonts w:ascii="Arial" w:hAnsi="Arial"/>
          <w:sz w:val="19"/>
          <w:szCs w:val="19"/>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6FEBB89F" w14:textId="77777777" w:rsidR="00EE27A8" w:rsidRPr="00EE27A8" w:rsidRDefault="00EE27A8" w:rsidP="00F64AB6">
      <w:pPr>
        <w:pStyle w:val="BodyText"/>
        <w:spacing w:after="0" w:line="360" w:lineRule="auto"/>
        <w:jc w:val="thaiDistribute"/>
        <w:rPr>
          <w:rFonts w:ascii="Arial" w:hAnsi="Arial"/>
          <w:sz w:val="19"/>
          <w:szCs w:val="19"/>
        </w:rPr>
      </w:pPr>
    </w:p>
    <w:p w14:paraId="4116AB84" w14:textId="77777777" w:rsidR="00EE27A8" w:rsidRPr="00EE27A8" w:rsidRDefault="00EE27A8" w:rsidP="00F64AB6">
      <w:pPr>
        <w:pStyle w:val="BodyText"/>
        <w:spacing w:after="0" w:line="360" w:lineRule="auto"/>
        <w:jc w:val="thaiDistribute"/>
        <w:rPr>
          <w:rFonts w:ascii="Arial" w:hAnsi="Arial"/>
          <w:sz w:val="19"/>
          <w:szCs w:val="19"/>
        </w:rPr>
      </w:pPr>
      <w:r w:rsidRPr="00EE27A8">
        <w:rPr>
          <w:rFonts w:ascii="Arial" w:hAnsi="Arial"/>
          <w:sz w:val="19"/>
          <w:szCs w:val="19"/>
        </w:rPr>
        <w:t>When I read the annual report, if I conclude that there is a material misstatement therein,</w:t>
      </w:r>
      <w:r w:rsidRPr="00EE27A8">
        <w:rPr>
          <w:rFonts w:ascii="Arial" w:hAnsi="Arial"/>
          <w:sz w:val="19"/>
          <w:szCs w:val="19"/>
          <w:cs/>
          <w:lang w:bidi="th-TH"/>
        </w:rPr>
        <w:t xml:space="preserve"> </w:t>
      </w:r>
      <w:r w:rsidRPr="00EE27A8">
        <w:rPr>
          <w:rFonts w:ascii="Arial" w:hAnsi="Arial"/>
          <w:sz w:val="19"/>
          <w:szCs w:val="19"/>
        </w:rPr>
        <w:t>I am required to communicate the matter to the audit committee.</w:t>
      </w:r>
    </w:p>
    <w:p w14:paraId="319022E0" w14:textId="77777777" w:rsidR="009E09D6" w:rsidRPr="00EE27A8" w:rsidRDefault="009E09D6" w:rsidP="00EE27A8">
      <w:pPr>
        <w:pStyle w:val="BodyText"/>
        <w:spacing w:after="0" w:line="360" w:lineRule="auto"/>
        <w:rPr>
          <w:rFonts w:ascii="Arial" w:hAnsi="Arial"/>
          <w:sz w:val="19"/>
          <w:szCs w:val="19"/>
        </w:rPr>
      </w:pPr>
    </w:p>
    <w:p w14:paraId="259F24C0" w14:textId="77777777" w:rsidR="00AA5B63" w:rsidRDefault="00AA5B63">
      <w:pPr>
        <w:spacing w:after="0" w:line="240" w:lineRule="auto"/>
        <w:rPr>
          <w:rFonts w:ascii="Arial" w:hAnsi="Arial"/>
          <w:i/>
          <w:iCs/>
          <w:color w:val="000000"/>
          <w:sz w:val="19"/>
          <w:szCs w:val="19"/>
        </w:rPr>
      </w:pPr>
      <w:r>
        <w:rPr>
          <w:rFonts w:ascii="Arial" w:hAnsi="Arial"/>
          <w:i/>
          <w:iCs/>
          <w:color w:val="000000"/>
          <w:sz w:val="19"/>
          <w:szCs w:val="19"/>
        </w:rPr>
        <w:br w:type="page"/>
      </w:r>
    </w:p>
    <w:p w14:paraId="49433973" w14:textId="55AB3F10" w:rsidR="009E09D6" w:rsidRPr="008A0670" w:rsidRDefault="009E09D6" w:rsidP="008A0670">
      <w:pPr>
        <w:pStyle w:val="BodyText"/>
        <w:spacing w:after="0" w:line="360" w:lineRule="auto"/>
        <w:jc w:val="thaiDistribute"/>
        <w:rPr>
          <w:rFonts w:ascii="Arial" w:hAnsi="Arial"/>
          <w:i/>
          <w:iCs/>
          <w:color w:val="000000"/>
          <w:sz w:val="19"/>
          <w:szCs w:val="19"/>
        </w:rPr>
      </w:pPr>
      <w:r w:rsidRPr="008A0670">
        <w:rPr>
          <w:rFonts w:ascii="Arial" w:hAnsi="Arial"/>
          <w:i/>
          <w:iCs/>
          <w:color w:val="000000"/>
          <w:sz w:val="19"/>
          <w:szCs w:val="19"/>
        </w:rPr>
        <w:lastRenderedPageBreak/>
        <w:t xml:space="preserve">Responsibilities of the directors for the consolidated and separate financial statements </w:t>
      </w:r>
    </w:p>
    <w:p w14:paraId="59FA8AAA" w14:textId="77777777" w:rsidR="00D72117" w:rsidRPr="008A0670" w:rsidRDefault="00D72117" w:rsidP="008A0670">
      <w:pPr>
        <w:pStyle w:val="Default"/>
        <w:spacing w:line="360" w:lineRule="auto"/>
        <w:jc w:val="thaiDistribute"/>
        <w:rPr>
          <w:rFonts w:eastAsia="Calibri"/>
          <w:b/>
          <w:bCs/>
          <w:color w:val="000000" w:themeColor="text1"/>
          <w:sz w:val="19"/>
          <w:szCs w:val="19"/>
        </w:rPr>
      </w:pPr>
    </w:p>
    <w:p w14:paraId="185234FD" w14:textId="77777777" w:rsidR="009E09D6" w:rsidRDefault="009E09D6" w:rsidP="008A0670">
      <w:pPr>
        <w:pStyle w:val="BodyText"/>
        <w:spacing w:after="0" w:line="360" w:lineRule="auto"/>
        <w:jc w:val="thaiDistribute"/>
        <w:rPr>
          <w:rFonts w:ascii="Arial" w:hAnsi="Arial"/>
          <w:sz w:val="19"/>
          <w:szCs w:val="19"/>
        </w:rPr>
      </w:pPr>
      <w:r w:rsidRPr="008A0670">
        <w:rPr>
          <w:rFonts w:ascii="Arial" w:hAnsi="Arial"/>
          <w:sz w:val="19"/>
          <w:szCs w:val="19"/>
        </w:rPr>
        <w:t xml:space="preserve">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 </w:t>
      </w:r>
    </w:p>
    <w:p w14:paraId="3D19B352" w14:textId="77777777" w:rsidR="00D72117" w:rsidRPr="008A0670" w:rsidRDefault="00D72117" w:rsidP="008A0670">
      <w:pPr>
        <w:spacing w:after="0" w:line="360" w:lineRule="auto"/>
        <w:jc w:val="thaiDistribute"/>
        <w:rPr>
          <w:rFonts w:ascii="Arial" w:hAnsi="Arial"/>
          <w:color w:val="000000" w:themeColor="text1"/>
          <w:sz w:val="19"/>
          <w:szCs w:val="19"/>
        </w:rPr>
      </w:pPr>
    </w:p>
    <w:p w14:paraId="17C96176" w14:textId="77777777" w:rsidR="009E09D6" w:rsidRPr="008A0670" w:rsidRDefault="009E09D6" w:rsidP="008A0670">
      <w:pPr>
        <w:pStyle w:val="BodyText"/>
        <w:spacing w:after="0" w:line="360" w:lineRule="auto"/>
        <w:jc w:val="thaiDistribute"/>
        <w:rPr>
          <w:rFonts w:ascii="Arial" w:hAnsi="Arial"/>
          <w:sz w:val="19"/>
          <w:szCs w:val="19"/>
        </w:rPr>
      </w:pPr>
      <w:r w:rsidRPr="008A0670">
        <w:rPr>
          <w:rFonts w:ascii="Arial" w:hAnsi="Arial"/>
          <w:sz w:val="19"/>
          <w:szCs w:val="19"/>
        </w:rPr>
        <w:t>In preparing the consolidated and separate financial statements, the directors are responsible for assessing the Group’s and the Company’s ability to continue as a going concern, disclosing, as applicable, matters related to going concern and using the going concern basis of accounting unless the directors either intend to liquidate the Group and the Company or to cease operations, or has no realistic alternative but to do so.</w:t>
      </w:r>
    </w:p>
    <w:p w14:paraId="2F3D239C" w14:textId="77777777" w:rsidR="00D72117" w:rsidRPr="008A0670" w:rsidRDefault="00D72117" w:rsidP="008A0670">
      <w:pPr>
        <w:pStyle w:val="Default"/>
        <w:spacing w:line="360" w:lineRule="auto"/>
        <w:jc w:val="thaiDistribute"/>
        <w:rPr>
          <w:color w:val="000000" w:themeColor="text1"/>
          <w:sz w:val="20"/>
          <w:szCs w:val="20"/>
        </w:rPr>
      </w:pPr>
    </w:p>
    <w:p w14:paraId="34D651B0" w14:textId="77777777" w:rsidR="009E09D6" w:rsidRPr="008A0670" w:rsidRDefault="009E09D6" w:rsidP="008A0670">
      <w:pPr>
        <w:pStyle w:val="BodyText"/>
        <w:spacing w:after="0" w:line="360" w:lineRule="auto"/>
        <w:jc w:val="thaiDistribute"/>
        <w:rPr>
          <w:rFonts w:ascii="Arial" w:hAnsi="Arial"/>
          <w:sz w:val="19"/>
          <w:szCs w:val="19"/>
        </w:rPr>
      </w:pPr>
      <w:r w:rsidRPr="008A0670">
        <w:rPr>
          <w:rFonts w:ascii="Arial" w:hAnsi="Arial"/>
          <w:sz w:val="19"/>
          <w:szCs w:val="19"/>
        </w:rPr>
        <w:t xml:space="preserve">The audit committee assists the directors in discharging their responsibilities for overseeing the Group’s and the Company’s financial reporting process. </w:t>
      </w:r>
    </w:p>
    <w:p w14:paraId="13991541" w14:textId="77777777" w:rsidR="00D72117" w:rsidRPr="008A0670" w:rsidRDefault="00D72117" w:rsidP="008A0670">
      <w:pPr>
        <w:pStyle w:val="Default"/>
        <w:spacing w:after="120" w:line="360" w:lineRule="auto"/>
        <w:jc w:val="thaiDistribute"/>
        <w:rPr>
          <w:b/>
          <w:bCs/>
          <w:color w:val="000000" w:themeColor="text1"/>
          <w:sz w:val="20"/>
          <w:szCs w:val="20"/>
        </w:rPr>
      </w:pPr>
    </w:p>
    <w:p w14:paraId="6E048835" w14:textId="77777777" w:rsidR="009E09D6" w:rsidRPr="008A0670" w:rsidRDefault="009E09D6" w:rsidP="008A0670">
      <w:pPr>
        <w:pStyle w:val="BodyText"/>
        <w:spacing w:after="0" w:line="360" w:lineRule="auto"/>
        <w:jc w:val="thaiDistribute"/>
        <w:rPr>
          <w:rFonts w:ascii="Arial" w:hAnsi="Arial"/>
          <w:i/>
          <w:iCs/>
          <w:color w:val="000000"/>
          <w:sz w:val="19"/>
          <w:szCs w:val="19"/>
        </w:rPr>
      </w:pPr>
      <w:r w:rsidRPr="008A0670">
        <w:rPr>
          <w:rFonts w:ascii="Arial" w:hAnsi="Arial"/>
          <w:i/>
          <w:iCs/>
          <w:color w:val="000000"/>
          <w:sz w:val="19"/>
          <w:szCs w:val="19"/>
        </w:rPr>
        <w:t>Auditor’s responsibilities for the audit of the consolidated and separate financial statements</w:t>
      </w:r>
    </w:p>
    <w:p w14:paraId="0D4E1C15" w14:textId="77777777" w:rsidR="00D72117" w:rsidRPr="008A0670" w:rsidRDefault="00D72117" w:rsidP="008A0670">
      <w:pPr>
        <w:pStyle w:val="Default"/>
        <w:spacing w:line="360" w:lineRule="auto"/>
        <w:jc w:val="thaiDistribute"/>
        <w:rPr>
          <w:rFonts w:eastAsia="Calibri"/>
          <w:b/>
          <w:bCs/>
          <w:color w:val="000000" w:themeColor="text1"/>
          <w:sz w:val="20"/>
          <w:szCs w:val="20"/>
        </w:rPr>
      </w:pPr>
    </w:p>
    <w:p w14:paraId="3C6312B0" w14:textId="77777777" w:rsidR="009E09D6" w:rsidRPr="008A0670" w:rsidRDefault="009E09D6" w:rsidP="008A0670">
      <w:pPr>
        <w:pStyle w:val="BodyText"/>
        <w:spacing w:after="0" w:line="360" w:lineRule="auto"/>
        <w:jc w:val="thaiDistribute"/>
        <w:rPr>
          <w:rFonts w:ascii="Arial" w:hAnsi="Arial"/>
          <w:sz w:val="19"/>
          <w:szCs w:val="19"/>
        </w:rPr>
      </w:pPr>
      <w:r w:rsidRPr="008A0670">
        <w:rPr>
          <w:rFonts w:ascii="Arial" w:hAnsi="Arial"/>
          <w:sz w:val="19"/>
          <w:szCs w:val="19"/>
        </w:rPr>
        <w:t xml:space="preserve">My objectives are to obtain reasonable assurance about whether the consolidated and separate financial statements </w:t>
      </w:r>
      <w:proofErr w:type="gramStart"/>
      <w:r w:rsidRPr="008A0670">
        <w:rPr>
          <w:rFonts w:ascii="Arial" w:hAnsi="Arial"/>
          <w:sz w:val="19"/>
          <w:szCs w:val="19"/>
        </w:rPr>
        <w:t>as a whole are</w:t>
      </w:r>
      <w:proofErr w:type="gramEnd"/>
      <w:r w:rsidRPr="008A0670">
        <w:rPr>
          <w:rFonts w:ascii="Arial" w:hAnsi="Arial"/>
          <w:sz w:val="19"/>
          <w:szCs w:val="19"/>
        </w:rPr>
        <w:t xml:space="preserve"> free from material misstatement, whether due to fraud or error, and to issue an auditor’s report that includes my opinion. Reasonable assurance is a high level of </w:t>
      </w:r>
      <w:proofErr w:type="gramStart"/>
      <w:r w:rsidRPr="008A0670">
        <w:rPr>
          <w:rFonts w:ascii="Arial" w:hAnsi="Arial"/>
          <w:sz w:val="19"/>
          <w:szCs w:val="19"/>
        </w:rPr>
        <w:t>assurance, but</w:t>
      </w:r>
      <w:proofErr w:type="gramEnd"/>
      <w:r w:rsidRPr="008A0670">
        <w:rPr>
          <w:rFonts w:ascii="Arial" w:hAnsi="Arial"/>
          <w:sz w:val="19"/>
          <w:szCs w:val="19"/>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8A0670">
        <w:rPr>
          <w:rFonts w:ascii="Arial" w:hAnsi="Arial"/>
          <w:sz w:val="19"/>
          <w:szCs w:val="19"/>
        </w:rPr>
        <w:t>on the basis of</w:t>
      </w:r>
      <w:proofErr w:type="gramEnd"/>
      <w:r w:rsidRPr="008A0670">
        <w:rPr>
          <w:rFonts w:ascii="Arial" w:hAnsi="Arial"/>
          <w:sz w:val="19"/>
          <w:szCs w:val="19"/>
        </w:rPr>
        <w:t xml:space="preserve"> these consolidated and separate financial statements.</w:t>
      </w:r>
    </w:p>
    <w:p w14:paraId="4D86D1C5" w14:textId="77777777" w:rsidR="00D72117" w:rsidRPr="008A0670" w:rsidRDefault="00D72117" w:rsidP="008A0670">
      <w:pPr>
        <w:pStyle w:val="Default"/>
        <w:spacing w:line="360" w:lineRule="auto"/>
        <w:jc w:val="thaiDistribute"/>
        <w:rPr>
          <w:color w:val="000000" w:themeColor="text1"/>
          <w:sz w:val="19"/>
          <w:szCs w:val="19"/>
        </w:rPr>
      </w:pPr>
    </w:p>
    <w:p w14:paraId="44ABF538" w14:textId="77777777" w:rsidR="009E09D6" w:rsidRPr="008A0670" w:rsidRDefault="009E09D6" w:rsidP="008A0670">
      <w:pPr>
        <w:pStyle w:val="BodyText"/>
        <w:spacing w:after="0" w:line="360" w:lineRule="auto"/>
        <w:jc w:val="thaiDistribute"/>
        <w:rPr>
          <w:rFonts w:ascii="Arial" w:hAnsi="Arial"/>
          <w:sz w:val="19"/>
          <w:szCs w:val="19"/>
        </w:rPr>
      </w:pPr>
      <w:r w:rsidRPr="008A0670">
        <w:rPr>
          <w:rFonts w:ascii="Arial" w:hAnsi="Arial"/>
          <w:sz w:val="19"/>
          <w:szCs w:val="19"/>
        </w:rPr>
        <w:t xml:space="preserve">As part of an audit in accordance with TSAs, I exercise professional judgement and maintain professional scepticism throughout the audit. I also: </w:t>
      </w:r>
    </w:p>
    <w:p w14:paraId="1A90FA25" w14:textId="77777777" w:rsidR="00D72117" w:rsidRPr="008A0670" w:rsidRDefault="00D72117" w:rsidP="008A0670">
      <w:pPr>
        <w:pStyle w:val="Default"/>
        <w:spacing w:line="360" w:lineRule="auto"/>
        <w:jc w:val="thaiDistribute"/>
        <w:rPr>
          <w:color w:val="000000" w:themeColor="text1"/>
          <w:sz w:val="19"/>
          <w:szCs w:val="19"/>
        </w:rPr>
      </w:pPr>
    </w:p>
    <w:p w14:paraId="41B5ED53" w14:textId="77777777" w:rsidR="009E09D6" w:rsidRPr="008A0670" w:rsidRDefault="009E09D6" w:rsidP="0007593E">
      <w:pPr>
        <w:pStyle w:val="BodyText"/>
        <w:numPr>
          <w:ilvl w:val="0"/>
          <w:numId w:val="16"/>
        </w:numPr>
        <w:spacing w:after="0" w:line="360" w:lineRule="auto"/>
        <w:ind w:left="387"/>
        <w:jc w:val="thaiDistribute"/>
        <w:rPr>
          <w:rFonts w:ascii="Arial" w:hAnsi="Arial"/>
          <w:sz w:val="19"/>
          <w:szCs w:val="19"/>
        </w:rPr>
      </w:pPr>
      <w:r w:rsidRPr="008A0670">
        <w:rPr>
          <w:rFonts w:ascii="Arial" w:hAnsi="Arial"/>
          <w:sz w:val="19"/>
          <w:szCs w:val="19"/>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0070EE43" w14:textId="77777777" w:rsidR="00AA5B63" w:rsidRDefault="00AA5B63">
      <w:pPr>
        <w:spacing w:after="0" w:line="240" w:lineRule="auto"/>
        <w:rPr>
          <w:rFonts w:ascii="Arial" w:hAnsi="Arial"/>
          <w:sz w:val="19"/>
          <w:szCs w:val="19"/>
        </w:rPr>
      </w:pPr>
      <w:r>
        <w:rPr>
          <w:rFonts w:ascii="Arial" w:hAnsi="Arial"/>
          <w:sz w:val="19"/>
          <w:szCs w:val="19"/>
        </w:rPr>
        <w:br w:type="page"/>
      </w:r>
    </w:p>
    <w:p w14:paraId="37367766" w14:textId="676A9F5F" w:rsidR="009E09D6" w:rsidRPr="008A0670" w:rsidRDefault="009E09D6" w:rsidP="0007593E">
      <w:pPr>
        <w:pStyle w:val="BodyText"/>
        <w:numPr>
          <w:ilvl w:val="0"/>
          <w:numId w:val="16"/>
        </w:numPr>
        <w:spacing w:after="0" w:line="360" w:lineRule="auto"/>
        <w:ind w:left="387"/>
        <w:jc w:val="thaiDistribute"/>
        <w:rPr>
          <w:rFonts w:ascii="Arial" w:hAnsi="Arial"/>
          <w:sz w:val="19"/>
          <w:szCs w:val="19"/>
        </w:rPr>
      </w:pPr>
      <w:r w:rsidRPr="008A0670">
        <w:rPr>
          <w:rFonts w:ascii="Arial" w:hAnsi="Arial"/>
          <w:sz w:val="19"/>
          <w:szCs w:val="19"/>
        </w:rPr>
        <w:lastRenderedPageBreak/>
        <w:t xml:space="preserve">Obtain an understanding of internal control relevant to the audit </w:t>
      </w:r>
      <w:proofErr w:type="gramStart"/>
      <w:r w:rsidRPr="008A0670">
        <w:rPr>
          <w:rFonts w:ascii="Arial" w:hAnsi="Arial"/>
          <w:sz w:val="19"/>
          <w:szCs w:val="19"/>
        </w:rPr>
        <w:t>in order to</w:t>
      </w:r>
      <w:proofErr w:type="gramEnd"/>
      <w:r w:rsidRPr="008A0670">
        <w:rPr>
          <w:rFonts w:ascii="Arial" w:hAnsi="Arial"/>
          <w:sz w:val="19"/>
          <w:szCs w:val="19"/>
        </w:rPr>
        <w:t xml:space="preserve"> design audit procedures that are appropriate in the circumstances, but not for the purpose of expressing an opinion on the effectiveness of the Group’s and the Company’s internal control. </w:t>
      </w:r>
    </w:p>
    <w:p w14:paraId="698C1D74" w14:textId="27C503C6" w:rsidR="006E25FD" w:rsidRPr="00AA5B63" w:rsidRDefault="009E09D6" w:rsidP="0007593E">
      <w:pPr>
        <w:pStyle w:val="BodyText"/>
        <w:numPr>
          <w:ilvl w:val="0"/>
          <w:numId w:val="16"/>
        </w:numPr>
        <w:spacing w:after="0" w:line="360" w:lineRule="auto"/>
        <w:ind w:left="387"/>
        <w:jc w:val="thaiDistribute"/>
        <w:rPr>
          <w:rFonts w:ascii="Arial" w:hAnsi="Arial"/>
          <w:sz w:val="19"/>
          <w:szCs w:val="19"/>
        </w:rPr>
      </w:pPr>
      <w:r w:rsidRPr="008A0670">
        <w:rPr>
          <w:rFonts w:ascii="Arial" w:hAnsi="Arial"/>
          <w:sz w:val="19"/>
          <w:szCs w:val="19"/>
        </w:rPr>
        <w:t xml:space="preserve">Evaluate the appropriateness of accounting policies used and the reasonableness of accounting estimates and related disclosures made by the directors. </w:t>
      </w:r>
    </w:p>
    <w:p w14:paraId="40A832DA" w14:textId="26972DEF" w:rsidR="009E09D6" w:rsidRPr="008A0670" w:rsidRDefault="009E09D6" w:rsidP="0007593E">
      <w:pPr>
        <w:pStyle w:val="BodyText"/>
        <w:numPr>
          <w:ilvl w:val="0"/>
          <w:numId w:val="16"/>
        </w:numPr>
        <w:spacing w:after="0" w:line="360" w:lineRule="auto"/>
        <w:ind w:left="387"/>
        <w:jc w:val="thaiDistribute"/>
        <w:rPr>
          <w:rFonts w:ascii="Arial" w:hAnsi="Arial"/>
          <w:sz w:val="19"/>
          <w:szCs w:val="19"/>
        </w:rPr>
      </w:pPr>
      <w:r w:rsidRPr="008A0670">
        <w:rPr>
          <w:rFonts w:ascii="Arial" w:hAnsi="Arial"/>
          <w:sz w:val="19"/>
          <w:szCs w:val="19"/>
        </w:rPr>
        <w:t xml:space="preserve">Conclude on the appropriateness of the directors’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7D76A51B" w14:textId="28D65692" w:rsidR="009E09D6" w:rsidRPr="008A0670" w:rsidRDefault="009E09D6" w:rsidP="0007593E">
      <w:pPr>
        <w:pStyle w:val="BodyText"/>
        <w:numPr>
          <w:ilvl w:val="0"/>
          <w:numId w:val="16"/>
        </w:numPr>
        <w:spacing w:after="0" w:line="360" w:lineRule="auto"/>
        <w:ind w:left="387"/>
        <w:jc w:val="thaiDistribute"/>
        <w:rPr>
          <w:rFonts w:ascii="Arial" w:hAnsi="Arial"/>
          <w:sz w:val="19"/>
          <w:szCs w:val="19"/>
        </w:rPr>
      </w:pPr>
      <w:r w:rsidRPr="008A0670">
        <w:rPr>
          <w:rFonts w:ascii="Arial" w:hAnsi="Arial"/>
          <w:sz w:val="19"/>
          <w:szCs w:val="19"/>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14:paraId="4BA90AF2" w14:textId="77777777" w:rsidR="009E09D6" w:rsidRPr="008A0670" w:rsidRDefault="009E09D6" w:rsidP="0007593E">
      <w:pPr>
        <w:pStyle w:val="BodyText"/>
        <w:numPr>
          <w:ilvl w:val="0"/>
          <w:numId w:val="16"/>
        </w:numPr>
        <w:spacing w:after="0" w:line="360" w:lineRule="auto"/>
        <w:ind w:left="387"/>
        <w:jc w:val="thaiDistribute"/>
        <w:rPr>
          <w:rFonts w:ascii="Arial" w:hAnsi="Arial"/>
          <w:sz w:val="19"/>
          <w:szCs w:val="19"/>
        </w:rPr>
      </w:pPr>
      <w:r w:rsidRPr="008A0670">
        <w:rPr>
          <w:rFonts w:ascii="Arial" w:hAnsi="Arial"/>
          <w:sz w:val="19"/>
          <w:szCs w:val="19"/>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2F15D5C9" w14:textId="77777777" w:rsidR="009E09D6" w:rsidRPr="008A0670" w:rsidRDefault="009E09D6" w:rsidP="008A0670">
      <w:pPr>
        <w:pStyle w:val="Default"/>
        <w:spacing w:line="360" w:lineRule="auto"/>
        <w:jc w:val="thaiDistribute"/>
        <w:rPr>
          <w:color w:val="000000" w:themeColor="text1"/>
          <w:sz w:val="19"/>
          <w:szCs w:val="19"/>
        </w:rPr>
      </w:pPr>
    </w:p>
    <w:p w14:paraId="73B73AC3" w14:textId="77777777" w:rsidR="009E09D6" w:rsidRPr="008A0670" w:rsidRDefault="009E09D6" w:rsidP="008A0670">
      <w:pPr>
        <w:pStyle w:val="BodyText"/>
        <w:spacing w:after="0" w:line="360" w:lineRule="auto"/>
        <w:jc w:val="thaiDistribute"/>
        <w:rPr>
          <w:rFonts w:ascii="Arial" w:hAnsi="Arial"/>
          <w:sz w:val="19"/>
          <w:szCs w:val="19"/>
        </w:rPr>
      </w:pPr>
      <w:r w:rsidRPr="008A0670">
        <w:rPr>
          <w:rFonts w:ascii="Arial" w:hAnsi="Arial"/>
          <w:sz w:val="19"/>
          <w:szCs w:val="19"/>
        </w:rPr>
        <w:t xml:space="preserve">I communicate with the audit committee regarding, among other matters, the planned scope and timing of the audit and significant audit findings, including any significant deficiencies in internal control that I identify during my audit. </w:t>
      </w:r>
    </w:p>
    <w:p w14:paraId="57563443" w14:textId="77777777" w:rsidR="009E09D6" w:rsidRPr="008A0670" w:rsidRDefault="009E09D6" w:rsidP="008A0670">
      <w:pPr>
        <w:pStyle w:val="Default"/>
        <w:spacing w:line="360" w:lineRule="auto"/>
        <w:jc w:val="thaiDistribute"/>
        <w:rPr>
          <w:color w:val="000000" w:themeColor="text1"/>
          <w:sz w:val="16"/>
          <w:szCs w:val="16"/>
        </w:rPr>
      </w:pPr>
    </w:p>
    <w:p w14:paraId="211FDE0F" w14:textId="77777777" w:rsidR="009E09D6" w:rsidRPr="008A0670" w:rsidRDefault="009E09D6" w:rsidP="008A0670">
      <w:pPr>
        <w:pStyle w:val="BodyText"/>
        <w:spacing w:after="0" w:line="360" w:lineRule="auto"/>
        <w:jc w:val="thaiDistribute"/>
        <w:rPr>
          <w:rFonts w:ascii="Arial" w:hAnsi="Arial"/>
          <w:sz w:val="19"/>
          <w:szCs w:val="19"/>
        </w:rPr>
      </w:pPr>
      <w:r w:rsidRPr="008A0670">
        <w:rPr>
          <w:rFonts w:ascii="Arial" w:hAnsi="Arial"/>
          <w:sz w:val="19"/>
          <w:szCs w:val="19"/>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5C2FD46C" w14:textId="4308FB83" w:rsidR="00193CA8" w:rsidRDefault="00193CA8" w:rsidP="008A0670">
      <w:pPr>
        <w:spacing w:after="0" w:line="360" w:lineRule="auto"/>
        <w:rPr>
          <w:rFonts w:ascii="Arial" w:hAnsi="Arial"/>
          <w:sz w:val="19"/>
          <w:szCs w:val="19"/>
        </w:rPr>
      </w:pPr>
    </w:p>
    <w:p w14:paraId="51C44168" w14:textId="77777777" w:rsidR="003F0107" w:rsidRDefault="003F0107" w:rsidP="008A0670">
      <w:pPr>
        <w:spacing w:after="0" w:line="360" w:lineRule="auto"/>
        <w:rPr>
          <w:rFonts w:ascii="Arial" w:hAnsi="Arial"/>
          <w:sz w:val="19"/>
          <w:szCs w:val="19"/>
        </w:rPr>
      </w:pPr>
    </w:p>
    <w:p w14:paraId="4403F60E" w14:textId="77777777" w:rsidR="003F0107" w:rsidRDefault="003F0107" w:rsidP="008A0670">
      <w:pPr>
        <w:spacing w:after="0" w:line="360" w:lineRule="auto"/>
        <w:rPr>
          <w:rFonts w:ascii="Arial" w:hAnsi="Arial"/>
          <w:sz w:val="19"/>
          <w:szCs w:val="19"/>
        </w:rPr>
      </w:pPr>
    </w:p>
    <w:p w14:paraId="029E044B" w14:textId="77777777" w:rsidR="003F0107" w:rsidRDefault="003F0107" w:rsidP="008A0670">
      <w:pPr>
        <w:spacing w:after="0" w:line="360" w:lineRule="auto"/>
        <w:rPr>
          <w:rFonts w:ascii="Arial" w:hAnsi="Arial"/>
          <w:sz w:val="19"/>
          <w:szCs w:val="19"/>
        </w:rPr>
      </w:pPr>
    </w:p>
    <w:p w14:paraId="35740861" w14:textId="77777777" w:rsidR="003F0107" w:rsidRDefault="003F0107" w:rsidP="008A0670">
      <w:pPr>
        <w:spacing w:after="0" w:line="360" w:lineRule="auto"/>
        <w:rPr>
          <w:rFonts w:ascii="Arial" w:hAnsi="Arial"/>
          <w:sz w:val="19"/>
          <w:szCs w:val="19"/>
        </w:rPr>
      </w:pPr>
    </w:p>
    <w:p w14:paraId="1E1E88CA" w14:textId="77777777" w:rsidR="003F0107" w:rsidRDefault="003F0107" w:rsidP="008A0670">
      <w:pPr>
        <w:spacing w:after="0" w:line="360" w:lineRule="auto"/>
        <w:rPr>
          <w:rFonts w:ascii="Arial" w:hAnsi="Arial"/>
          <w:sz w:val="19"/>
          <w:szCs w:val="19"/>
        </w:rPr>
      </w:pPr>
    </w:p>
    <w:p w14:paraId="03DDBF62" w14:textId="77777777" w:rsidR="003F0107" w:rsidRDefault="003F0107" w:rsidP="008A0670">
      <w:pPr>
        <w:spacing w:after="0" w:line="360" w:lineRule="auto"/>
        <w:rPr>
          <w:rFonts w:ascii="Arial" w:hAnsi="Arial"/>
          <w:sz w:val="19"/>
          <w:szCs w:val="19"/>
        </w:rPr>
      </w:pPr>
    </w:p>
    <w:p w14:paraId="2EE2D58C" w14:textId="77777777" w:rsidR="00AA5B63" w:rsidRDefault="00AA5B63">
      <w:pPr>
        <w:spacing w:after="0" w:line="240" w:lineRule="auto"/>
        <w:rPr>
          <w:rFonts w:ascii="Arial" w:hAnsi="Arial"/>
          <w:sz w:val="19"/>
          <w:szCs w:val="19"/>
        </w:rPr>
      </w:pPr>
      <w:r>
        <w:rPr>
          <w:rFonts w:ascii="Arial" w:hAnsi="Arial"/>
          <w:sz w:val="19"/>
          <w:szCs w:val="19"/>
        </w:rPr>
        <w:br w:type="page"/>
      </w:r>
    </w:p>
    <w:p w14:paraId="27B6CE95" w14:textId="4C2E7F9F" w:rsidR="00163242" w:rsidRPr="008A0670" w:rsidRDefault="009E09D6" w:rsidP="008A0670">
      <w:pPr>
        <w:pStyle w:val="BodyText"/>
        <w:spacing w:after="0" w:line="360" w:lineRule="auto"/>
        <w:jc w:val="thaiDistribute"/>
        <w:rPr>
          <w:rFonts w:ascii="Arial" w:hAnsi="Arial"/>
          <w:sz w:val="19"/>
          <w:szCs w:val="19"/>
        </w:rPr>
      </w:pPr>
      <w:r w:rsidRPr="008A0670">
        <w:rPr>
          <w:rFonts w:ascii="Arial" w:hAnsi="Arial"/>
          <w:sz w:val="19"/>
          <w:szCs w:val="19"/>
        </w:rPr>
        <w:lastRenderedPageBreak/>
        <w:t>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002031F8">
        <w:rPr>
          <w:rFonts w:ascii="Arial" w:hAnsi="Arial"/>
          <w:sz w:val="19"/>
          <w:szCs w:val="19"/>
        </w:rPr>
        <w:t>.</w:t>
      </w:r>
    </w:p>
    <w:p w14:paraId="13CA43E4" w14:textId="77777777" w:rsidR="00121022" w:rsidRPr="009E09D6" w:rsidRDefault="00121022" w:rsidP="009E09D6">
      <w:pPr>
        <w:pStyle w:val="BodyText"/>
        <w:spacing w:line="360" w:lineRule="auto"/>
        <w:jc w:val="thaiDistribute"/>
        <w:rPr>
          <w:rFonts w:ascii="Arial" w:hAnsi="Arial"/>
          <w:sz w:val="19"/>
          <w:szCs w:val="19"/>
        </w:rPr>
      </w:pPr>
    </w:p>
    <w:p w14:paraId="0C7B0A56" w14:textId="77777777" w:rsidR="00193CA8" w:rsidRPr="00A80B17" w:rsidRDefault="00193CA8" w:rsidP="001F44CB">
      <w:pPr>
        <w:pStyle w:val="BodyText"/>
        <w:spacing w:line="360" w:lineRule="auto"/>
        <w:jc w:val="thaiDistribute"/>
        <w:rPr>
          <w:rFonts w:ascii="Arial" w:hAnsi="Arial"/>
          <w:sz w:val="24"/>
          <w:szCs w:val="24"/>
        </w:rPr>
      </w:pPr>
    </w:p>
    <w:p w14:paraId="446437A3" w14:textId="77777777" w:rsidR="0073580B" w:rsidRPr="004D2CC3" w:rsidRDefault="0073580B" w:rsidP="0073580B">
      <w:pPr>
        <w:spacing w:after="0" w:line="360" w:lineRule="auto"/>
        <w:jc w:val="thaiDistribute"/>
        <w:rPr>
          <w:rFonts w:ascii="Arial" w:hAnsi="Arial"/>
          <w:b/>
          <w:bCs/>
          <w:sz w:val="19"/>
          <w:szCs w:val="19"/>
        </w:rPr>
      </w:pPr>
      <w:r w:rsidRPr="004D2CC3">
        <w:rPr>
          <w:rFonts w:ascii="Arial" w:hAnsi="Arial"/>
          <w:b/>
          <w:bCs/>
          <w:sz w:val="19"/>
          <w:szCs w:val="19"/>
        </w:rPr>
        <w:t>Paisan Boonsirisukapong</w:t>
      </w:r>
    </w:p>
    <w:p w14:paraId="26160645" w14:textId="77777777" w:rsidR="00C10298" w:rsidRPr="00A80B17" w:rsidRDefault="00C10298" w:rsidP="00C10298">
      <w:pPr>
        <w:pStyle w:val="RNormal"/>
        <w:spacing w:line="360" w:lineRule="auto"/>
        <w:rPr>
          <w:rFonts w:ascii="Arial" w:hAnsi="Arial" w:cs="Arial"/>
          <w:sz w:val="19"/>
          <w:szCs w:val="19"/>
        </w:rPr>
      </w:pPr>
      <w:r w:rsidRPr="00A80B17">
        <w:rPr>
          <w:rFonts w:ascii="Arial" w:hAnsi="Arial" w:cs="Arial"/>
          <w:sz w:val="19"/>
          <w:szCs w:val="19"/>
        </w:rPr>
        <w:t>Certified Public Accountant</w:t>
      </w:r>
    </w:p>
    <w:p w14:paraId="35FB46B4" w14:textId="23B1F8CF" w:rsidR="00C10298" w:rsidRPr="00A80B17" w:rsidRDefault="00C10298" w:rsidP="00C10298">
      <w:pPr>
        <w:pStyle w:val="RNormal"/>
        <w:spacing w:line="360" w:lineRule="auto"/>
        <w:rPr>
          <w:rFonts w:ascii="Arial" w:hAnsi="Arial" w:cs="Arial"/>
          <w:sz w:val="19"/>
          <w:szCs w:val="19"/>
          <w:lang w:bidi="th-TH"/>
        </w:rPr>
      </w:pPr>
      <w:r w:rsidRPr="00A80B17">
        <w:rPr>
          <w:rFonts w:ascii="Arial" w:hAnsi="Arial" w:cs="Arial"/>
          <w:sz w:val="19"/>
          <w:szCs w:val="19"/>
        </w:rPr>
        <w:t xml:space="preserve">Registration No. </w:t>
      </w:r>
      <w:r w:rsidR="002C7A51" w:rsidRPr="002C7A51">
        <w:rPr>
          <w:rFonts w:ascii="Arial" w:hAnsi="Arial" w:cs="Arial"/>
          <w:sz w:val="19"/>
          <w:szCs w:val="19"/>
          <w:lang w:val="en-GB"/>
        </w:rPr>
        <w:t>5216</w:t>
      </w:r>
    </w:p>
    <w:p w14:paraId="1EE0A21C" w14:textId="77777777" w:rsidR="00CC0B53" w:rsidRPr="00A80B17" w:rsidRDefault="00CC0B53" w:rsidP="00C10298">
      <w:pPr>
        <w:spacing w:after="0" w:line="360" w:lineRule="auto"/>
        <w:rPr>
          <w:rFonts w:ascii="Arial" w:hAnsi="Arial"/>
          <w:sz w:val="19"/>
          <w:szCs w:val="19"/>
          <w:lang w:bidi="th-TH"/>
        </w:rPr>
      </w:pPr>
    </w:p>
    <w:p w14:paraId="0183BE5A" w14:textId="43BF59B1" w:rsidR="00C10298" w:rsidRPr="00A80B17" w:rsidRDefault="00C10298" w:rsidP="00C10298">
      <w:pPr>
        <w:spacing w:after="0" w:line="360" w:lineRule="auto"/>
        <w:rPr>
          <w:rFonts w:ascii="Arial" w:hAnsi="Arial"/>
          <w:sz w:val="19"/>
          <w:szCs w:val="19"/>
          <w:lang w:bidi="th-TH"/>
        </w:rPr>
      </w:pPr>
      <w:r w:rsidRPr="00A80B17">
        <w:rPr>
          <w:rFonts w:ascii="Arial" w:hAnsi="Arial"/>
          <w:sz w:val="19"/>
          <w:szCs w:val="19"/>
          <w:lang w:bidi="th-TH"/>
        </w:rPr>
        <w:t>Grant Thornton Limited</w:t>
      </w:r>
    </w:p>
    <w:p w14:paraId="362A24A4" w14:textId="77777777" w:rsidR="00C10298" w:rsidRPr="009E09D6" w:rsidRDefault="00C10298" w:rsidP="00C10298">
      <w:pPr>
        <w:spacing w:after="0" w:line="360" w:lineRule="auto"/>
        <w:rPr>
          <w:rFonts w:ascii="Arial" w:hAnsi="Arial"/>
          <w:sz w:val="19"/>
          <w:szCs w:val="19"/>
          <w:cs/>
          <w:lang w:bidi="th-TH"/>
        </w:rPr>
      </w:pPr>
      <w:r w:rsidRPr="009E09D6">
        <w:rPr>
          <w:rFonts w:ascii="Arial" w:hAnsi="Arial"/>
          <w:sz w:val="19"/>
          <w:szCs w:val="19"/>
          <w:lang w:bidi="th-TH"/>
        </w:rPr>
        <w:t>Bangkok</w:t>
      </w:r>
    </w:p>
    <w:p w14:paraId="2E47314E" w14:textId="43B1387E" w:rsidR="00D15EA5" w:rsidRPr="00A80B17" w:rsidRDefault="00AA5B63" w:rsidP="005D1529">
      <w:pPr>
        <w:spacing w:after="0" w:line="360" w:lineRule="auto"/>
        <w:jc w:val="thaiDistribute"/>
        <w:rPr>
          <w:rFonts w:ascii="Arial" w:hAnsi="Arial"/>
          <w:sz w:val="19"/>
          <w:szCs w:val="19"/>
        </w:rPr>
      </w:pPr>
      <w:r w:rsidRPr="00D87553">
        <w:rPr>
          <w:rFonts w:ascii="Arial" w:hAnsi="Arial"/>
          <w:sz w:val="19"/>
          <w:szCs w:val="19"/>
          <w:lang w:val="en-US" w:bidi="th-TH"/>
        </w:rPr>
        <w:t>25</w:t>
      </w:r>
      <w:r w:rsidR="005B3412" w:rsidRPr="00D87553">
        <w:rPr>
          <w:rFonts w:ascii="Arial" w:hAnsi="Arial"/>
          <w:sz w:val="19"/>
          <w:szCs w:val="19"/>
          <w:lang w:val="en-US" w:bidi="th-TH"/>
        </w:rPr>
        <w:t xml:space="preserve"> </w:t>
      </w:r>
      <w:r w:rsidRPr="00D87553">
        <w:rPr>
          <w:rFonts w:ascii="Arial" w:hAnsi="Arial"/>
          <w:sz w:val="19"/>
          <w:szCs w:val="19"/>
          <w:lang w:val="en-US" w:bidi="th-TH"/>
        </w:rPr>
        <w:t>February</w:t>
      </w:r>
      <w:r w:rsidR="00163242" w:rsidRPr="00D87553">
        <w:rPr>
          <w:rFonts w:ascii="Arial" w:hAnsi="Arial"/>
          <w:sz w:val="19"/>
          <w:szCs w:val="19"/>
          <w:lang w:val="en-US" w:bidi="th-TH"/>
        </w:rPr>
        <w:t xml:space="preserve"> 202</w:t>
      </w:r>
      <w:r w:rsidR="00E14A4F">
        <w:rPr>
          <w:rFonts w:ascii="Arial" w:hAnsi="Arial"/>
          <w:sz w:val="19"/>
          <w:szCs w:val="19"/>
          <w:lang w:val="en-US" w:bidi="th-TH"/>
        </w:rPr>
        <w:t>6</w:t>
      </w:r>
    </w:p>
    <w:sectPr w:rsidR="00D15EA5" w:rsidRPr="00A80B17" w:rsidSect="0086156F">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6D80A" w14:textId="77777777" w:rsidR="00AE32C5" w:rsidRDefault="00AE32C5">
      <w:r>
        <w:separator/>
      </w:r>
    </w:p>
  </w:endnote>
  <w:endnote w:type="continuationSeparator" w:id="0">
    <w:p w14:paraId="74B69A0C" w14:textId="77777777" w:rsidR="00AE32C5" w:rsidRDefault="00AE32C5">
      <w:r>
        <w:continuationSeparator/>
      </w:r>
    </w:p>
  </w:endnote>
  <w:endnote w:type="continuationNotice" w:id="1">
    <w:p w14:paraId="7909C102" w14:textId="77777777" w:rsidR="00AE32C5" w:rsidRDefault="00AE32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Browallia New">
    <w:altName w:val="Leelawadee UI"/>
    <w:panose1 w:val="020B06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6727E" w14:textId="77777777" w:rsidR="00AE32C5" w:rsidRDefault="00AE32C5">
      <w:bookmarkStart w:id="0" w:name="_Hlk482348182"/>
      <w:bookmarkEnd w:id="0"/>
      <w:r>
        <w:separator/>
      </w:r>
    </w:p>
  </w:footnote>
  <w:footnote w:type="continuationSeparator" w:id="0">
    <w:p w14:paraId="6EBA306E" w14:textId="77777777" w:rsidR="00AE32C5" w:rsidRDefault="00AE32C5">
      <w:r>
        <w:continuationSeparator/>
      </w:r>
    </w:p>
  </w:footnote>
  <w:footnote w:type="continuationNotice" w:id="1">
    <w:p w14:paraId="0B7A7174" w14:textId="77777777" w:rsidR="00AE32C5" w:rsidRDefault="00AE32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D7E" w14:textId="4E50C6B9" w:rsidR="005F0A99" w:rsidRDefault="00C4245B" w:rsidP="00D96128">
    <w:pPr>
      <w:pStyle w:val="Header"/>
      <w:jc w:val="right"/>
    </w:pPr>
    <w:r>
      <w:rPr>
        <w:noProof/>
      </w:rPr>
      <mc:AlternateContent>
        <mc:Choice Requires="wps">
          <w:drawing>
            <wp:anchor distT="0" distB="0" distL="0" distR="0" simplePos="0" relativeHeight="251660290" behindDoc="0" locked="0" layoutInCell="1" allowOverlap="1" wp14:anchorId="0BE4991A" wp14:editId="6CA3A19E">
              <wp:simplePos x="635" y="635"/>
              <wp:positionH relativeFrom="page">
                <wp:align>right</wp:align>
              </wp:positionH>
              <wp:positionV relativeFrom="page">
                <wp:align>top</wp:align>
              </wp:positionV>
              <wp:extent cx="761365" cy="342900"/>
              <wp:effectExtent l="0" t="0" r="0" b="0"/>
              <wp:wrapNone/>
              <wp:docPr id="1446615326" name="Text Box 4"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61365" cy="342900"/>
                      </a:xfrm>
                      <a:prstGeom prst="rect">
                        <a:avLst/>
                      </a:prstGeom>
                      <a:noFill/>
                      <a:ln>
                        <a:noFill/>
                      </a:ln>
                    </wps:spPr>
                    <wps:txbx>
                      <w:txbxContent>
                        <w:p w14:paraId="2609B1ED" w14:textId="5CFB8AF1" w:rsidR="00C4245B" w:rsidRPr="00C4245B" w:rsidRDefault="00C4245B" w:rsidP="00C4245B">
                          <w:pPr>
                            <w:spacing w:after="0"/>
                            <w:rPr>
                              <w:rFonts w:ascii="Aptos" w:eastAsia="Aptos" w:hAnsi="Aptos" w:cs="Aptos"/>
                              <w:noProof/>
                              <w:color w:val="008000"/>
                              <w:sz w:val="16"/>
                              <w:szCs w:val="16"/>
                            </w:rPr>
                          </w:pPr>
                          <w:r w:rsidRPr="00C4245B">
                            <w:rPr>
                              <w:rFonts w:ascii="Aptos" w:eastAsia="Aptos" w:hAnsi="Aptos" w:cs="Aptos"/>
                              <w:noProof/>
                              <w:color w:val="008000"/>
                              <w:sz w:val="16"/>
                              <w:szCs w:val="16"/>
                            </w:rPr>
                            <w:t>[INTERNAL]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BE4991A" id="_x0000_t202" coordsize="21600,21600" o:spt="202" path="m,l,21600r21600,l21600,xe">
              <v:stroke joinstyle="miter"/>
              <v:path gradientshapeok="t" o:connecttype="rect"/>
            </v:shapetype>
            <v:shape id="Text Box 4" o:spid="_x0000_s1026" type="#_x0000_t202" alt="[INTERNAL]" style="position:absolute;left:0;text-align:left;margin-left:8.75pt;margin-top:0;width:59.95pt;height:27pt;z-index:25166029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" filled="f" stroked="f">
              <v:fill o:detectmouseclick="t"/>
              <v:textbox style="mso-fit-shape-to-text:t" inset="0,15pt,20pt,0">
                <w:txbxContent>
                  <w:p w14:paraId="2609B1ED" w14:textId="5CFB8AF1" w:rsidR="00C4245B" w:rsidRPr="00C4245B" w:rsidRDefault="00C4245B" w:rsidP="00C4245B">
                    <w:pPr>
                      <w:spacing w:after="0"/>
                      <w:rPr>
                        <w:rFonts w:ascii="Aptos" w:eastAsia="Aptos" w:hAnsi="Aptos" w:cs="Aptos"/>
                        <w:noProof/>
                        <w:color w:val="008000"/>
                        <w:sz w:val="16"/>
                        <w:szCs w:val="16"/>
                      </w:rPr>
                    </w:pPr>
                    <w:r w:rsidRPr="00C4245B">
                      <w:rPr>
                        <w:rFonts w:ascii="Aptos" w:eastAsia="Aptos" w:hAnsi="Aptos" w:cs="Aptos"/>
                        <w:noProof/>
                        <w:color w:val="008000"/>
                        <w:sz w:val="16"/>
                        <w:szCs w:val="16"/>
                      </w:rPr>
                      <w:t>[INTERNAL]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CCF5E" w14:textId="2952CF89" w:rsidR="005F0A99" w:rsidRDefault="005F0A99" w:rsidP="00D96128">
    <w:pPr>
      <w:pStyle w:val="Header"/>
      <w:jc w:val="right"/>
    </w:pPr>
  </w:p>
  <w:p w14:paraId="138C1A99" w14:textId="77777777" w:rsidR="005F0A99" w:rsidRPr="0079502D" w:rsidRDefault="005F0A99"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E5E5" w14:textId="634C4B2C" w:rsidR="005F0A99" w:rsidRDefault="005F0A99" w:rsidP="00E11C05">
    <w:pPr>
      <w:pStyle w:val="Header"/>
      <w:tabs>
        <w:tab w:val="clear" w:pos="8562"/>
        <w:tab w:val="left" w:pos="5328"/>
      </w:tabs>
      <w:spacing w:after="1320"/>
    </w:pPr>
  </w:p>
  <w:p w14:paraId="2CDF52D1" w14:textId="35A2DED9" w:rsidR="005F0A99" w:rsidRPr="006932D7" w:rsidRDefault="005F0A99"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INDEPENDENT AUDITOR’S REPORT </w:t>
    </w:r>
  </w:p>
  <w:p w14:paraId="0E78E07D" w14:textId="77777777" w:rsidR="005F0A99" w:rsidRDefault="005F0A99" w:rsidP="00D15EA5">
    <w:pPr>
      <w:pStyle w:val="Header"/>
    </w:pPr>
    <w:bookmarkStart w:id="2" w:name="Footer3_tbl"/>
    <w:bookmarkEnd w:id="2"/>
  </w:p>
  <w:p w14:paraId="4E48D69A" w14:textId="7BF3AFCE" w:rsidR="005F0A99" w:rsidRPr="00E06AF5" w:rsidRDefault="005F0A99"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0F900DF"/>
    <w:multiLevelType w:val="hybridMultilevel"/>
    <w:tmpl w:val="0A4EA038"/>
    <w:lvl w:ilvl="0" w:tplc="4F26F9CE">
      <w:numFmt w:val="bullet"/>
      <w:lvlText w:val="-"/>
      <w:lvlJc w:val="left"/>
      <w:pPr>
        <w:ind w:left="706" w:hanging="360"/>
      </w:pPr>
      <w:rPr>
        <w:rFonts w:ascii="Arial" w:eastAsia="Times New Roman" w:hAnsi="Arial" w:cs="Arial" w:hint="default"/>
      </w:rPr>
    </w:lvl>
    <w:lvl w:ilvl="1" w:tplc="08090003" w:tentative="1">
      <w:start w:val="1"/>
      <w:numFmt w:val="bullet"/>
      <w:lvlText w:val="o"/>
      <w:lvlJc w:val="left"/>
      <w:pPr>
        <w:ind w:left="1426" w:hanging="360"/>
      </w:pPr>
      <w:rPr>
        <w:rFonts w:ascii="Courier New" w:hAnsi="Courier New" w:cs="Courier New" w:hint="default"/>
      </w:rPr>
    </w:lvl>
    <w:lvl w:ilvl="2" w:tplc="08090005" w:tentative="1">
      <w:start w:val="1"/>
      <w:numFmt w:val="bullet"/>
      <w:lvlText w:val=""/>
      <w:lvlJc w:val="left"/>
      <w:pPr>
        <w:ind w:left="2146" w:hanging="360"/>
      </w:pPr>
      <w:rPr>
        <w:rFonts w:ascii="Wingdings" w:hAnsi="Wingdings" w:hint="default"/>
      </w:rPr>
    </w:lvl>
    <w:lvl w:ilvl="3" w:tplc="08090001" w:tentative="1">
      <w:start w:val="1"/>
      <w:numFmt w:val="bullet"/>
      <w:lvlText w:val=""/>
      <w:lvlJc w:val="left"/>
      <w:pPr>
        <w:ind w:left="2866" w:hanging="360"/>
      </w:pPr>
      <w:rPr>
        <w:rFonts w:ascii="Symbol" w:hAnsi="Symbol" w:hint="default"/>
      </w:rPr>
    </w:lvl>
    <w:lvl w:ilvl="4" w:tplc="08090003" w:tentative="1">
      <w:start w:val="1"/>
      <w:numFmt w:val="bullet"/>
      <w:lvlText w:val="o"/>
      <w:lvlJc w:val="left"/>
      <w:pPr>
        <w:ind w:left="3586" w:hanging="360"/>
      </w:pPr>
      <w:rPr>
        <w:rFonts w:ascii="Courier New" w:hAnsi="Courier New" w:cs="Courier New" w:hint="default"/>
      </w:rPr>
    </w:lvl>
    <w:lvl w:ilvl="5" w:tplc="08090005" w:tentative="1">
      <w:start w:val="1"/>
      <w:numFmt w:val="bullet"/>
      <w:lvlText w:val=""/>
      <w:lvlJc w:val="left"/>
      <w:pPr>
        <w:ind w:left="4306" w:hanging="360"/>
      </w:pPr>
      <w:rPr>
        <w:rFonts w:ascii="Wingdings" w:hAnsi="Wingdings" w:hint="default"/>
      </w:rPr>
    </w:lvl>
    <w:lvl w:ilvl="6" w:tplc="08090001" w:tentative="1">
      <w:start w:val="1"/>
      <w:numFmt w:val="bullet"/>
      <w:lvlText w:val=""/>
      <w:lvlJc w:val="left"/>
      <w:pPr>
        <w:ind w:left="5026" w:hanging="360"/>
      </w:pPr>
      <w:rPr>
        <w:rFonts w:ascii="Symbol" w:hAnsi="Symbol" w:hint="default"/>
      </w:rPr>
    </w:lvl>
    <w:lvl w:ilvl="7" w:tplc="08090003" w:tentative="1">
      <w:start w:val="1"/>
      <w:numFmt w:val="bullet"/>
      <w:lvlText w:val="o"/>
      <w:lvlJc w:val="left"/>
      <w:pPr>
        <w:ind w:left="5746" w:hanging="360"/>
      </w:pPr>
      <w:rPr>
        <w:rFonts w:ascii="Courier New" w:hAnsi="Courier New" w:cs="Courier New" w:hint="default"/>
      </w:rPr>
    </w:lvl>
    <w:lvl w:ilvl="8" w:tplc="08090005" w:tentative="1">
      <w:start w:val="1"/>
      <w:numFmt w:val="bullet"/>
      <w:lvlText w:val=""/>
      <w:lvlJc w:val="left"/>
      <w:pPr>
        <w:ind w:left="6466" w:hanging="360"/>
      </w:pPr>
      <w:rPr>
        <w:rFonts w:ascii="Wingdings" w:hAnsi="Wingdings" w:hint="default"/>
      </w:rPr>
    </w:lvl>
  </w:abstractNum>
  <w:abstractNum w:abstractNumId="6"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7"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8" w15:restartNumberingAfterBreak="0">
    <w:nsid w:val="1A933704"/>
    <w:multiLevelType w:val="multilevel"/>
    <w:tmpl w:val="8460F8B0"/>
    <w:numStyleLink w:val="GTTableBullets"/>
  </w:abstractNum>
  <w:abstractNum w:abstractNumId="9"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55352D"/>
    <w:multiLevelType w:val="hybridMultilevel"/>
    <w:tmpl w:val="7EA4D510"/>
    <w:lvl w:ilvl="0" w:tplc="DF1CF6E6">
      <w:start w:val="1"/>
      <w:numFmt w:val="bullet"/>
      <w:lvlText w:val=""/>
      <w:lvlJc w:val="left"/>
      <w:pPr>
        <w:ind w:left="720" w:hanging="360"/>
      </w:pPr>
      <w:rPr>
        <w:rFonts w:ascii="Symbol" w:hAnsi="Symbol"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pStyle w:val="ListNumber"/>
      <w:lvlText w:val="%1"/>
      <w:lvlJc w:val="left"/>
      <w:pPr>
        <w:tabs>
          <w:tab w:val="num" w:pos="284"/>
        </w:tabs>
        <w:ind w:left="284" w:hanging="284"/>
      </w:pPr>
      <w:rPr>
        <w:rFonts w:hint="default"/>
      </w:rPr>
    </w:lvl>
    <w:lvl w:ilvl="1">
      <w:start w:val="1"/>
      <w:numFmt w:val="lowerLetter"/>
      <w:pStyle w:val="ListNumber2"/>
      <w:lvlText w:val="%2"/>
      <w:lvlJc w:val="left"/>
      <w:pPr>
        <w:tabs>
          <w:tab w:val="num" w:pos="567"/>
        </w:tabs>
        <w:ind w:left="567" w:hanging="283"/>
      </w:pPr>
      <w:rPr>
        <w:rFonts w:hint="default"/>
      </w:rPr>
    </w:lvl>
    <w:lvl w:ilvl="2">
      <w:start w:val="1"/>
      <w:numFmt w:val="lowerRoman"/>
      <w:pStyle w:val="ListNumber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lvlRestart w:val="0"/>
      <w:pStyle w:val="ListBullet3"/>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F924C95"/>
    <w:multiLevelType w:val="multilevel"/>
    <w:tmpl w:val="0D561ACA"/>
    <w:numStyleLink w:val="GTNumberedHeadings"/>
  </w:abstractNum>
  <w:num w:numId="1" w16cid:durableId="1587029560">
    <w:abstractNumId w:val="3"/>
  </w:num>
  <w:num w:numId="2" w16cid:durableId="1803578655">
    <w:abstractNumId w:val="2"/>
  </w:num>
  <w:num w:numId="3" w16cid:durableId="346714933">
    <w:abstractNumId w:val="1"/>
  </w:num>
  <w:num w:numId="4" w16cid:durableId="1879001961">
    <w:abstractNumId w:val="0"/>
  </w:num>
  <w:num w:numId="5" w16cid:durableId="2000887609">
    <w:abstractNumId w:val="7"/>
  </w:num>
  <w:num w:numId="6" w16cid:durableId="1068654325">
    <w:abstractNumId w:val="6"/>
  </w:num>
  <w:num w:numId="7" w16cid:durableId="776945761">
    <w:abstractNumId w:val="10"/>
  </w:num>
  <w:num w:numId="8" w16cid:durableId="930236874">
    <w:abstractNumId w:val="16"/>
  </w:num>
  <w:num w:numId="9" w16cid:durableId="783620255">
    <w:abstractNumId w:val="15"/>
  </w:num>
  <w:num w:numId="10" w16cid:durableId="1674989795">
    <w:abstractNumId w:val="13"/>
  </w:num>
  <w:num w:numId="11" w16cid:durableId="859515378">
    <w:abstractNumId w:val="4"/>
  </w:num>
  <w:num w:numId="12" w16cid:durableId="791023495">
    <w:abstractNumId w:val="9"/>
  </w:num>
  <w:num w:numId="13" w16cid:durableId="1954247243">
    <w:abstractNumId w:val="8"/>
  </w:num>
  <w:num w:numId="14" w16cid:durableId="2006543189">
    <w:abstractNumId w:val="14"/>
  </w:num>
  <w:num w:numId="15" w16cid:durableId="990789604">
    <w:abstractNumId w:val="12"/>
  </w:num>
  <w:num w:numId="16" w16cid:durableId="1201744175">
    <w:abstractNumId w:val="11"/>
  </w:num>
  <w:num w:numId="17" w16cid:durableId="1757483229">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331F"/>
    <w:rsid w:val="00004B8D"/>
    <w:rsid w:val="00012623"/>
    <w:rsid w:val="000130CA"/>
    <w:rsid w:val="000162B0"/>
    <w:rsid w:val="00016EDE"/>
    <w:rsid w:val="00020293"/>
    <w:rsid w:val="00021C15"/>
    <w:rsid w:val="00023145"/>
    <w:rsid w:val="0002662A"/>
    <w:rsid w:val="00026FA7"/>
    <w:rsid w:val="000273FF"/>
    <w:rsid w:val="00027DE7"/>
    <w:rsid w:val="0003023B"/>
    <w:rsid w:val="00031D17"/>
    <w:rsid w:val="0003455A"/>
    <w:rsid w:val="0003739D"/>
    <w:rsid w:val="00040FF3"/>
    <w:rsid w:val="00044ACE"/>
    <w:rsid w:val="0004550E"/>
    <w:rsid w:val="00045993"/>
    <w:rsid w:val="0005003A"/>
    <w:rsid w:val="00051194"/>
    <w:rsid w:val="00051BAE"/>
    <w:rsid w:val="00052614"/>
    <w:rsid w:val="00052F9F"/>
    <w:rsid w:val="000531EA"/>
    <w:rsid w:val="00053DA3"/>
    <w:rsid w:val="00054591"/>
    <w:rsid w:val="000561E6"/>
    <w:rsid w:val="00056463"/>
    <w:rsid w:val="000614DE"/>
    <w:rsid w:val="00061804"/>
    <w:rsid w:val="00063D92"/>
    <w:rsid w:val="0006778E"/>
    <w:rsid w:val="00071892"/>
    <w:rsid w:val="00072025"/>
    <w:rsid w:val="000723F7"/>
    <w:rsid w:val="00073279"/>
    <w:rsid w:val="00074485"/>
    <w:rsid w:val="0007593E"/>
    <w:rsid w:val="00077B30"/>
    <w:rsid w:val="00077D7D"/>
    <w:rsid w:val="00081059"/>
    <w:rsid w:val="000828F1"/>
    <w:rsid w:val="00082F59"/>
    <w:rsid w:val="00084DDD"/>
    <w:rsid w:val="00087FD8"/>
    <w:rsid w:val="00092B64"/>
    <w:rsid w:val="00093D51"/>
    <w:rsid w:val="00094333"/>
    <w:rsid w:val="00096B52"/>
    <w:rsid w:val="00097FAB"/>
    <w:rsid w:val="000A0523"/>
    <w:rsid w:val="000A17EA"/>
    <w:rsid w:val="000A201A"/>
    <w:rsid w:val="000A347E"/>
    <w:rsid w:val="000A3AC8"/>
    <w:rsid w:val="000A6546"/>
    <w:rsid w:val="000B1247"/>
    <w:rsid w:val="000B557F"/>
    <w:rsid w:val="000B65E3"/>
    <w:rsid w:val="000B6A73"/>
    <w:rsid w:val="000B7090"/>
    <w:rsid w:val="000C2590"/>
    <w:rsid w:val="000C5E5F"/>
    <w:rsid w:val="000D5DEE"/>
    <w:rsid w:val="000D70DC"/>
    <w:rsid w:val="000E2293"/>
    <w:rsid w:val="000E34CD"/>
    <w:rsid w:val="000E51E8"/>
    <w:rsid w:val="000E52CE"/>
    <w:rsid w:val="000E56A6"/>
    <w:rsid w:val="000E6239"/>
    <w:rsid w:val="000F236D"/>
    <w:rsid w:val="000F3AAB"/>
    <w:rsid w:val="000F6399"/>
    <w:rsid w:val="000F6A9D"/>
    <w:rsid w:val="000F6B2A"/>
    <w:rsid w:val="000F6E25"/>
    <w:rsid w:val="000F7702"/>
    <w:rsid w:val="00100707"/>
    <w:rsid w:val="00100B3D"/>
    <w:rsid w:val="001011DF"/>
    <w:rsid w:val="0010215C"/>
    <w:rsid w:val="0010340D"/>
    <w:rsid w:val="001036AA"/>
    <w:rsid w:val="001060ED"/>
    <w:rsid w:val="00112B69"/>
    <w:rsid w:val="00115599"/>
    <w:rsid w:val="00116F78"/>
    <w:rsid w:val="00121022"/>
    <w:rsid w:val="00121C3C"/>
    <w:rsid w:val="0012353B"/>
    <w:rsid w:val="001259C9"/>
    <w:rsid w:val="001269C3"/>
    <w:rsid w:val="001316D3"/>
    <w:rsid w:val="00132C40"/>
    <w:rsid w:val="001345AA"/>
    <w:rsid w:val="001355D2"/>
    <w:rsid w:val="00140D82"/>
    <w:rsid w:val="00142539"/>
    <w:rsid w:val="00153494"/>
    <w:rsid w:val="001554CD"/>
    <w:rsid w:val="00155A91"/>
    <w:rsid w:val="00155E24"/>
    <w:rsid w:val="001613E2"/>
    <w:rsid w:val="001618B7"/>
    <w:rsid w:val="00163242"/>
    <w:rsid w:val="0016459D"/>
    <w:rsid w:val="00166C4F"/>
    <w:rsid w:val="00167017"/>
    <w:rsid w:val="00172DA0"/>
    <w:rsid w:val="001750D3"/>
    <w:rsid w:val="00177104"/>
    <w:rsid w:val="001805E5"/>
    <w:rsid w:val="001806E2"/>
    <w:rsid w:val="00180AE3"/>
    <w:rsid w:val="0018405A"/>
    <w:rsid w:val="00185876"/>
    <w:rsid w:val="001875EE"/>
    <w:rsid w:val="0019210D"/>
    <w:rsid w:val="00193CA8"/>
    <w:rsid w:val="00193E9A"/>
    <w:rsid w:val="001958D9"/>
    <w:rsid w:val="001A3BFB"/>
    <w:rsid w:val="001A3C20"/>
    <w:rsid w:val="001A5435"/>
    <w:rsid w:val="001B0276"/>
    <w:rsid w:val="001B0B20"/>
    <w:rsid w:val="001B0D12"/>
    <w:rsid w:val="001B198C"/>
    <w:rsid w:val="001B23A3"/>
    <w:rsid w:val="001B2C4D"/>
    <w:rsid w:val="001B39CF"/>
    <w:rsid w:val="001B4D76"/>
    <w:rsid w:val="001B7388"/>
    <w:rsid w:val="001C0C12"/>
    <w:rsid w:val="001C202E"/>
    <w:rsid w:val="001C30B0"/>
    <w:rsid w:val="001C500C"/>
    <w:rsid w:val="001C53D8"/>
    <w:rsid w:val="001D1C0B"/>
    <w:rsid w:val="001D2302"/>
    <w:rsid w:val="001D24CC"/>
    <w:rsid w:val="001D5C20"/>
    <w:rsid w:val="001D7BB3"/>
    <w:rsid w:val="001E12A6"/>
    <w:rsid w:val="001E2FB4"/>
    <w:rsid w:val="001E3524"/>
    <w:rsid w:val="001E3D88"/>
    <w:rsid w:val="001E46A4"/>
    <w:rsid w:val="001E498F"/>
    <w:rsid w:val="001E5929"/>
    <w:rsid w:val="001E641B"/>
    <w:rsid w:val="001E7203"/>
    <w:rsid w:val="001F17E1"/>
    <w:rsid w:val="001F1DFF"/>
    <w:rsid w:val="001F3D21"/>
    <w:rsid w:val="001F427F"/>
    <w:rsid w:val="001F44CB"/>
    <w:rsid w:val="001F4523"/>
    <w:rsid w:val="00200470"/>
    <w:rsid w:val="00200536"/>
    <w:rsid w:val="0020097C"/>
    <w:rsid w:val="002031F8"/>
    <w:rsid w:val="00204FAD"/>
    <w:rsid w:val="00212CD3"/>
    <w:rsid w:val="00213B2E"/>
    <w:rsid w:val="002140CD"/>
    <w:rsid w:val="002167B6"/>
    <w:rsid w:val="00216B02"/>
    <w:rsid w:val="002176F8"/>
    <w:rsid w:val="00221485"/>
    <w:rsid w:val="00221684"/>
    <w:rsid w:val="002237C7"/>
    <w:rsid w:val="00223EE7"/>
    <w:rsid w:val="0022405F"/>
    <w:rsid w:val="0022518C"/>
    <w:rsid w:val="00225753"/>
    <w:rsid w:val="0023673B"/>
    <w:rsid w:val="002370EB"/>
    <w:rsid w:val="00237A7E"/>
    <w:rsid w:val="002417D6"/>
    <w:rsid w:val="00241F16"/>
    <w:rsid w:val="00243EE1"/>
    <w:rsid w:val="00245910"/>
    <w:rsid w:val="00246D70"/>
    <w:rsid w:val="0024789E"/>
    <w:rsid w:val="00247969"/>
    <w:rsid w:val="0025227E"/>
    <w:rsid w:val="00252332"/>
    <w:rsid w:val="002609F3"/>
    <w:rsid w:val="0026182A"/>
    <w:rsid w:val="00265C6D"/>
    <w:rsid w:val="00270177"/>
    <w:rsid w:val="00274F0B"/>
    <w:rsid w:val="00276C62"/>
    <w:rsid w:val="00276DB5"/>
    <w:rsid w:val="00277EBE"/>
    <w:rsid w:val="002827CF"/>
    <w:rsid w:val="002838FB"/>
    <w:rsid w:val="00285249"/>
    <w:rsid w:val="00286127"/>
    <w:rsid w:val="00286AC5"/>
    <w:rsid w:val="00291005"/>
    <w:rsid w:val="002956A3"/>
    <w:rsid w:val="00296C08"/>
    <w:rsid w:val="002A252E"/>
    <w:rsid w:val="002C14B5"/>
    <w:rsid w:val="002C2F2B"/>
    <w:rsid w:val="002C3C40"/>
    <w:rsid w:val="002C3DBD"/>
    <w:rsid w:val="002C623D"/>
    <w:rsid w:val="002C7884"/>
    <w:rsid w:val="002C7A51"/>
    <w:rsid w:val="002D0D8B"/>
    <w:rsid w:val="002D1115"/>
    <w:rsid w:val="002D1DB8"/>
    <w:rsid w:val="002D2FFE"/>
    <w:rsid w:val="002D48D7"/>
    <w:rsid w:val="002D5A0F"/>
    <w:rsid w:val="002D6E25"/>
    <w:rsid w:val="002D6FAB"/>
    <w:rsid w:val="002E02F4"/>
    <w:rsid w:val="002E0FF5"/>
    <w:rsid w:val="002E6B28"/>
    <w:rsid w:val="002E7F1E"/>
    <w:rsid w:val="002F0D21"/>
    <w:rsid w:val="002F1717"/>
    <w:rsid w:val="002F2DEB"/>
    <w:rsid w:val="002F3903"/>
    <w:rsid w:val="002F4A52"/>
    <w:rsid w:val="002F6E43"/>
    <w:rsid w:val="002F7D90"/>
    <w:rsid w:val="0030026A"/>
    <w:rsid w:val="003017EF"/>
    <w:rsid w:val="003026AD"/>
    <w:rsid w:val="00305173"/>
    <w:rsid w:val="003063C5"/>
    <w:rsid w:val="003068F0"/>
    <w:rsid w:val="0031489D"/>
    <w:rsid w:val="0031494B"/>
    <w:rsid w:val="00321862"/>
    <w:rsid w:val="00321A76"/>
    <w:rsid w:val="00324064"/>
    <w:rsid w:val="00327E2F"/>
    <w:rsid w:val="00327E3C"/>
    <w:rsid w:val="0033014F"/>
    <w:rsid w:val="0033093F"/>
    <w:rsid w:val="003329C3"/>
    <w:rsid w:val="00333880"/>
    <w:rsid w:val="00335E5B"/>
    <w:rsid w:val="00336E39"/>
    <w:rsid w:val="003439AC"/>
    <w:rsid w:val="00344307"/>
    <w:rsid w:val="00345032"/>
    <w:rsid w:val="00351849"/>
    <w:rsid w:val="003529C6"/>
    <w:rsid w:val="00352A2E"/>
    <w:rsid w:val="00354A5A"/>
    <w:rsid w:val="00354E4F"/>
    <w:rsid w:val="00354F2B"/>
    <w:rsid w:val="00354F5D"/>
    <w:rsid w:val="00355957"/>
    <w:rsid w:val="00357CE4"/>
    <w:rsid w:val="003611A8"/>
    <w:rsid w:val="00362453"/>
    <w:rsid w:val="00364299"/>
    <w:rsid w:val="00365ECE"/>
    <w:rsid w:val="003676FD"/>
    <w:rsid w:val="00371422"/>
    <w:rsid w:val="00372F79"/>
    <w:rsid w:val="0037315B"/>
    <w:rsid w:val="003744DA"/>
    <w:rsid w:val="00376523"/>
    <w:rsid w:val="00376B75"/>
    <w:rsid w:val="00377A57"/>
    <w:rsid w:val="00377BB5"/>
    <w:rsid w:val="0038141D"/>
    <w:rsid w:val="003817C5"/>
    <w:rsid w:val="00384904"/>
    <w:rsid w:val="00385EB5"/>
    <w:rsid w:val="00386470"/>
    <w:rsid w:val="0039639A"/>
    <w:rsid w:val="00396DFE"/>
    <w:rsid w:val="003978B3"/>
    <w:rsid w:val="003A0477"/>
    <w:rsid w:val="003A0D76"/>
    <w:rsid w:val="003A1DAA"/>
    <w:rsid w:val="003A1EBA"/>
    <w:rsid w:val="003B10D1"/>
    <w:rsid w:val="003B4CCD"/>
    <w:rsid w:val="003B4DED"/>
    <w:rsid w:val="003B612D"/>
    <w:rsid w:val="003B61AE"/>
    <w:rsid w:val="003C0DC1"/>
    <w:rsid w:val="003C0F95"/>
    <w:rsid w:val="003C12C5"/>
    <w:rsid w:val="003C27EF"/>
    <w:rsid w:val="003C31A9"/>
    <w:rsid w:val="003C32E9"/>
    <w:rsid w:val="003C3898"/>
    <w:rsid w:val="003C6AA6"/>
    <w:rsid w:val="003C755A"/>
    <w:rsid w:val="003C7A99"/>
    <w:rsid w:val="003C7F1A"/>
    <w:rsid w:val="003D1954"/>
    <w:rsid w:val="003D2605"/>
    <w:rsid w:val="003D3223"/>
    <w:rsid w:val="003D38DB"/>
    <w:rsid w:val="003D510D"/>
    <w:rsid w:val="003D64D6"/>
    <w:rsid w:val="003E034A"/>
    <w:rsid w:val="003E14F9"/>
    <w:rsid w:val="003E2256"/>
    <w:rsid w:val="003E3E21"/>
    <w:rsid w:val="003E6F85"/>
    <w:rsid w:val="003F0107"/>
    <w:rsid w:val="003F03E8"/>
    <w:rsid w:val="003F05DA"/>
    <w:rsid w:val="003F2B0C"/>
    <w:rsid w:val="003F40BE"/>
    <w:rsid w:val="003F4CAE"/>
    <w:rsid w:val="003F6088"/>
    <w:rsid w:val="003F66DE"/>
    <w:rsid w:val="003F6B6A"/>
    <w:rsid w:val="00400ED0"/>
    <w:rsid w:val="00401AA9"/>
    <w:rsid w:val="00403E95"/>
    <w:rsid w:val="004077B9"/>
    <w:rsid w:val="00410169"/>
    <w:rsid w:val="00414A6B"/>
    <w:rsid w:val="00416281"/>
    <w:rsid w:val="00417F96"/>
    <w:rsid w:val="00422353"/>
    <w:rsid w:val="00423AF1"/>
    <w:rsid w:val="00425D25"/>
    <w:rsid w:val="00426915"/>
    <w:rsid w:val="004323A2"/>
    <w:rsid w:val="0043385D"/>
    <w:rsid w:val="00433F63"/>
    <w:rsid w:val="00435788"/>
    <w:rsid w:val="004359E6"/>
    <w:rsid w:val="00442207"/>
    <w:rsid w:val="00443CE3"/>
    <w:rsid w:val="00447A5A"/>
    <w:rsid w:val="00450879"/>
    <w:rsid w:val="00452E7B"/>
    <w:rsid w:val="00453550"/>
    <w:rsid w:val="00453B8D"/>
    <w:rsid w:val="0045461D"/>
    <w:rsid w:val="004546FA"/>
    <w:rsid w:val="00455F9D"/>
    <w:rsid w:val="004572A8"/>
    <w:rsid w:val="00457417"/>
    <w:rsid w:val="00460850"/>
    <w:rsid w:val="00461664"/>
    <w:rsid w:val="00461AAC"/>
    <w:rsid w:val="0046275B"/>
    <w:rsid w:val="00462F01"/>
    <w:rsid w:val="0046438A"/>
    <w:rsid w:val="00464E39"/>
    <w:rsid w:val="00467A5A"/>
    <w:rsid w:val="004722A3"/>
    <w:rsid w:val="004752DF"/>
    <w:rsid w:val="00475379"/>
    <w:rsid w:val="00475727"/>
    <w:rsid w:val="004777F0"/>
    <w:rsid w:val="00481FE7"/>
    <w:rsid w:val="0048354D"/>
    <w:rsid w:val="0048532C"/>
    <w:rsid w:val="0048748C"/>
    <w:rsid w:val="00490B6D"/>
    <w:rsid w:val="0049103F"/>
    <w:rsid w:val="00492FD4"/>
    <w:rsid w:val="00496D60"/>
    <w:rsid w:val="004A0DFE"/>
    <w:rsid w:val="004A23D4"/>
    <w:rsid w:val="004A3476"/>
    <w:rsid w:val="004A36ED"/>
    <w:rsid w:val="004A3852"/>
    <w:rsid w:val="004A3BC5"/>
    <w:rsid w:val="004A3C62"/>
    <w:rsid w:val="004A46E8"/>
    <w:rsid w:val="004A57CF"/>
    <w:rsid w:val="004A7458"/>
    <w:rsid w:val="004B364F"/>
    <w:rsid w:val="004B6580"/>
    <w:rsid w:val="004C0839"/>
    <w:rsid w:val="004C0971"/>
    <w:rsid w:val="004C0C25"/>
    <w:rsid w:val="004C2111"/>
    <w:rsid w:val="004C4F53"/>
    <w:rsid w:val="004C695A"/>
    <w:rsid w:val="004C732E"/>
    <w:rsid w:val="004D14B6"/>
    <w:rsid w:val="004D1F57"/>
    <w:rsid w:val="004D20AE"/>
    <w:rsid w:val="004D3578"/>
    <w:rsid w:val="004D3B5E"/>
    <w:rsid w:val="004D55C4"/>
    <w:rsid w:val="004D756F"/>
    <w:rsid w:val="004E0048"/>
    <w:rsid w:val="004E07D4"/>
    <w:rsid w:val="004E4AAF"/>
    <w:rsid w:val="004E6B36"/>
    <w:rsid w:val="004F0990"/>
    <w:rsid w:val="004F149B"/>
    <w:rsid w:val="004F1A16"/>
    <w:rsid w:val="004F207F"/>
    <w:rsid w:val="004F5597"/>
    <w:rsid w:val="004F5D91"/>
    <w:rsid w:val="00500997"/>
    <w:rsid w:val="00500FEA"/>
    <w:rsid w:val="0050109D"/>
    <w:rsid w:val="005035A5"/>
    <w:rsid w:val="00504B67"/>
    <w:rsid w:val="00505A0C"/>
    <w:rsid w:val="00506B9F"/>
    <w:rsid w:val="005070FA"/>
    <w:rsid w:val="00507BCB"/>
    <w:rsid w:val="00510056"/>
    <w:rsid w:val="005212AA"/>
    <w:rsid w:val="0052186A"/>
    <w:rsid w:val="005261F2"/>
    <w:rsid w:val="00530015"/>
    <w:rsid w:val="005321DA"/>
    <w:rsid w:val="00532450"/>
    <w:rsid w:val="00532C05"/>
    <w:rsid w:val="00533B11"/>
    <w:rsid w:val="00533C53"/>
    <w:rsid w:val="00542A6E"/>
    <w:rsid w:val="00542E2A"/>
    <w:rsid w:val="005446A0"/>
    <w:rsid w:val="005459E9"/>
    <w:rsid w:val="00547541"/>
    <w:rsid w:val="00551365"/>
    <w:rsid w:val="00551D42"/>
    <w:rsid w:val="005528E9"/>
    <w:rsid w:val="005627FF"/>
    <w:rsid w:val="00562A42"/>
    <w:rsid w:val="005631E3"/>
    <w:rsid w:val="0056360A"/>
    <w:rsid w:val="0056390B"/>
    <w:rsid w:val="00563A7F"/>
    <w:rsid w:val="0056799E"/>
    <w:rsid w:val="005720F4"/>
    <w:rsid w:val="00572341"/>
    <w:rsid w:val="00572787"/>
    <w:rsid w:val="005760E1"/>
    <w:rsid w:val="0057628E"/>
    <w:rsid w:val="00577D61"/>
    <w:rsid w:val="00580225"/>
    <w:rsid w:val="00580CAA"/>
    <w:rsid w:val="005822AC"/>
    <w:rsid w:val="005873FE"/>
    <w:rsid w:val="00587431"/>
    <w:rsid w:val="0059091D"/>
    <w:rsid w:val="00592D83"/>
    <w:rsid w:val="00593BE4"/>
    <w:rsid w:val="00596C70"/>
    <w:rsid w:val="005A2AB5"/>
    <w:rsid w:val="005A2B02"/>
    <w:rsid w:val="005A433F"/>
    <w:rsid w:val="005A5587"/>
    <w:rsid w:val="005A5CAC"/>
    <w:rsid w:val="005A66D8"/>
    <w:rsid w:val="005B1D8B"/>
    <w:rsid w:val="005B3412"/>
    <w:rsid w:val="005B405A"/>
    <w:rsid w:val="005B4183"/>
    <w:rsid w:val="005B7E2F"/>
    <w:rsid w:val="005C0B9E"/>
    <w:rsid w:val="005C2079"/>
    <w:rsid w:val="005C2CCB"/>
    <w:rsid w:val="005C5029"/>
    <w:rsid w:val="005C6479"/>
    <w:rsid w:val="005C68E2"/>
    <w:rsid w:val="005C69FD"/>
    <w:rsid w:val="005D14E5"/>
    <w:rsid w:val="005D1529"/>
    <w:rsid w:val="005D23D0"/>
    <w:rsid w:val="005D275D"/>
    <w:rsid w:val="005D53C8"/>
    <w:rsid w:val="005D7025"/>
    <w:rsid w:val="005E1F1C"/>
    <w:rsid w:val="005E2D67"/>
    <w:rsid w:val="005E47D3"/>
    <w:rsid w:val="005E4B30"/>
    <w:rsid w:val="005E5578"/>
    <w:rsid w:val="005E5818"/>
    <w:rsid w:val="005F0A99"/>
    <w:rsid w:val="005F2212"/>
    <w:rsid w:val="005F4D62"/>
    <w:rsid w:val="005F756B"/>
    <w:rsid w:val="00603439"/>
    <w:rsid w:val="0060368B"/>
    <w:rsid w:val="0060796F"/>
    <w:rsid w:val="00610E50"/>
    <w:rsid w:val="00610ED7"/>
    <w:rsid w:val="00611259"/>
    <w:rsid w:val="00613E75"/>
    <w:rsid w:val="00616A84"/>
    <w:rsid w:val="00620CE3"/>
    <w:rsid w:val="00621086"/>
    <w:rsid w:val="00621679"/>
    <w:rsid w:val="0062346B"/>
    <w:rsid w:val="00625558"/>
    <w:rsid w:val="006268A7"/>
    <w:rsid w:val="00627DD2"/>
    <w:rsid w:val="00635001"/>
    <w:rsid w:val="00635C6B"/>
    <w:rsid w:val="006365A1"/>
    <w:rsid w:val="00636964"/>
    <w:rsid w:val="00636AA2"/>
    <w:rsid w:val="00642BE8"/>
    <w:rsid w:val="00643291"/>
    <w:rsid w:val="00646DBE"/>
    <w:rsid w:val="0065437F"/>
    <w:rsid w:val="006560B8"/>
    <w:rsid w:val="0066470A"/>
    <w:rsid w:val="00664D55"/>
    <w:rsid w:val="00666764"/>
    <w:rsid w:val="0066694B"/>
    <w:rsid w:val="00667741"/>
    <w:rsid w:val="00667DB6"/>
    <w:rsid w:val="00670ABB"/>
    <w:rsid w:val="00673045"/>
    <w:rsid w:val="00673B03"/>
    <w:rsid w:val="00674258"/>
    <w:rsid w:val="006758B7"/>
    <w:rsid w:val="006771E8"/>
    <w:rsid w:val="00677C01"/>
    <w:rsid w:val="0068241F"/>
    <w:rsid w:val="00683CC7"/>
    <w:rsid w:val="006842A8"/>
    <w:rsid w:val="006852E6"/>
    <w:rsid w:val="00685D0B"/>
    <w:rsid w:val="00692CA5"/>
    <w:rsid w:val="006930BC"/>
    <w:rsid w:val="006932D7"/>
    <w:rsid w:val="0069690F"/>
    <w:rsid w:val="006A128D"/>
    <w:rsid w:val="006A134D"/>
    <w:rsid w:val="006A1E63"/>
    <w:rsid w:val="006A439D"/>
    <w:rsid w:val="006A6F18"/>
    <w:rsid w:val="006A710A"/>
    <w:rsid w:val="006A7A48"/>
    <w:rsid w:val="006A7E13"/>
    <w:rsid w:val="006B06A2"/>
    <w:rsid w:val="006B0C41"/>
    <w:rsid w:val="006B0D29"/>
    <w:rsid w:val="006B3DC3"/>
    <w:rsid w:val="006B52B9"/>
    <w:rsid w:val="006B5FE4"/>
    <w:rsid w:val="006C37E9"/>
    <w:rsid w:val="006C3D37"/>
    <w:rsid w:val="006C6376"/>
    <w:rsid w:val="006C6D61"/>
    <w:rsid w:val="006D2388"/>
    <w:rsid w:val="006D2F09"/>
    <w:rsid w:val="006D3F98"/>
    <w:rsid w:val="006D4053"/>
    <w:rsid w:val="006D46DD"/>
    <w:rsid w:val="006D539C"/>
    <w:rsid w:val="006D59D5"/>
    <w:rsid w:val="006D6FF5"/>
    <w:rsid w:val="006E1B86"/>
    <w:rsid w:val="006E2239"/>
    <w:rsid w:val="006E25FD"/>
    <w:rsid w:val="006E2EE5"/>
    <w:rsid w:val="006F1B19"/>
    <w:rsid w:val="006F29ED"/>
    <w:rsid w:val="006F3723"/>
    <w:rsid w:val="006F3A63"/>
    <w:rsid w:val="006F4F77"/>
    <w:rsid w:val="006F686B"/>
    <w:rsid w:val="0070147C"/>
    <w:rsid w:val="007021E1"/>
    <w:rsid w:val="00702989"/>
    <w:rsid w:val="0070391A"/>
    <w:rsid w:val="00706CC4"/>
    <w:rsid w:val="00710562"/>
    <w:rsid w:val="00711234"/>
    <w:rsid w:val="00714FD6"/>
    <w:rsid w:val="00721574"/>
    <w:rsid w:val="007217C6"/>
    <w:rsid w:val="007260CF"/>
    <w:rsid w:val="007265F7"/>
    <w:rsid w:val="00731894"/>
    <w:rsid w:val="00732958"/>
    <w:rsid w:val="00732E6A"/>
    <w:rsid w:val="0073523D"/>
    <w:rsid w:val="0073580B"/>
    <w:rsid w:val="00736841"/>
    <w:rsid w:val="00741C06"/>
    <w:rsid w:val="007449A6"/>
    <w:rsid w:val="0074564B"/>
    <w:rsid w:val="00746796"/>
    <w:rsid w:val="00746D91"/>
    <w:rsid w:val="0074721A"/>
    <w:rsid w:val="00747CB6"/>
    <w:rsid w:val="0075044C"/>
    <w:rsid w:val="007508C7"/>
    <w:rsid w:val="0075254B"/>
    <w:rsid w:val="0075349B"/>
    <w:rsid w:val="0075598A"/>
    <w:rsid w:val="0075741C"/>
    <w:rsid w:val="00757B41"/>
    <w:rsid w:val="00761813"/>
    <w:rsid w:val="007631C6"/>
    <w:rsid w:val="00763919"/>
    <w:rsid w:val="00766985"/>
    <w:rsid w:val="007679AB"/>
    <w:rsid w:val="00771738"/>
    <w:rsid w:val="00771AF3"/>
    <w:rsid w:val="00771B85"/>
    <w:rsid w:val="00771C5B"/>
    <w:rsid w:val="007748E0"/>
    <w:rsid w:val="00775DA6"/>
    <w:rsid w:val="007770C6"/>
    <w:rsid w:val="00777686"/>
    <w:rsid w:val="00780622"/>
    <w:rsid w:val="00780F53"/>
    <w:rsid w:val="0078139C"/>
    <w:rsid w:val="0078170A"/>
    <w:rsid w:val="00782691"/>
    <w:rsid w:val="00785B8B"/>
    <w:rsid w:val="00790956"/>
    <w:rsid w:val="0079502D"/>
    <w:rsid w:val="00796034"/>
    <w:rsid w:val="007A0755"/>
    <w:rsid w:val="007A0BDF"/>
    <w:rsid w:val="007A1E24"/>
    <w:rsid w:val="007A30B5"/>
    <w:rsid w:val="007A31D9"/>
    <w:rsid w:val="007A38F8"/>
    <w:rsid w:val="007A74F9"/>
    <w:rsid w:val="007B3C2C"/>
    <w:rsid w:val="007B3C51"/>
    <w:rsid w:val="007B40B8"/>
    <w:rsid w:val="007B5627"/>
    <w:rsid w:val="007B5F84"/>
    <w:rsid w:val="007B7CDF"/>
    <w:rsid w:val="007C4CC2"/>
    <w:rsid w:val="007C73AF"/>
    <w:rsid w:val="007C7B8D"/>
    <w:rsid w:val="007D1CD2"/>
    <w:rsid w:val="007D41A1"/>
    <w:rsid w:val="007D6119"/>
    <w:rsid w:val="007D6E7E"/>
    <w:rsid w:val="007D7508"/>
    <w:rsid w:val="007E039A"/>
    <w:rsid w:val="007E0A3F"/>
    <w:rsid w:val="007E1A7F"/>
    <w:rsid w:val="007E5752"/>
    <w:rsid w:val="007E62C5"/>
    <w:rsid w:val="007E7AAC"/>
    <w:rsid w:val="007E7CD2"/>
    <w:rsid w:val="007F00FA"/>
    <w:rsid w:val="007F2F6B"/>
    <w:rsid w:val="007F68EC"/>
    <w:rsid w:val="008008B8"/>
    <w:rsid w:val="00800C9E"/>
    <w:rsid w:val="00802DA2"/>
    <w:rsid w:val="008033D0"/>
    <w:rsid w:val="00803FB6"/>
    <w:rsid w:val="008059EF"/>
    <w:rsid w:val="00805D94"/>
    <w:rsid w:val="008128F7"/>
    <w:rsid w:val="00812938"/>
    <w:rsid w:val="008130C5"/>
    <w:rsid w:val="00813F02"/>
    <w:rsid w:val="00815400"/>
    <w:rsid w:val="0081735E"/>
    <w:rsid w:val="00820E17"/>
    <w:rsid w:val="00822182"/>
    <w:rsid w:val="00827B71"/>
    <w:rsid w:val="00830DAC"/>
    <w:rsid w:val="0083134C"/>
    <w:rsid w:val="0083184F"/>
    <w:rsid w:val="0083188B"/>
    <w:rsid w:val="00832987"/>
    <w:rsid w:val="00832A8C"/>
    <w:rsid w:val="00832BB3"/>
    <w:rsid w:val="00832F51"/>
    <w:rsid w:val="00840E47"/>
    <w:rsid w:val="00842501"/>
    <w:rsid w:val="00843100"/>
    <w:rsid w:val="00845711"/>
    <w:rsid w:val="00847054"/>
    <w:rsid w:val="00850F25"/>
    <w:rsid w:val="008534AA"/>
    <w:rsid w:val="00855BD6"/>
    <w:rsid w:val="00857926"/>
    <w:rsid w:val="008604E5"/>
    <w:rsid w:val="0086156F"/>
    <w:rsid w:val="00861F3A"/>
    <w:rsid w:val="00862168"/>
    <w:rsid w:val="00862415"/>
    <w:rsid w:val="00863036"/>
    <w:rsid w:val="00863653"/>
    <w:rsid w:val="00863DE6"/>
    <w:rsid w:val="0086699C"/>
    <w:rsid w:val="00866B31"/>
    <w:rsid w:val="00867217"/>
    <w:rsid w:val="008679E9"/>
    <w:rsid w:val="008719C2"/>
    <w:rsid w:val="008723F1"/>
    <w:rsid w:val="00872E73"/>
    <w:rsid w:val="0087332B"/>
    <w:rsid w:val="00873D1D"/>
    <w:rsid w:val="00873ED1"/>
    <w:rsid w:val="00877BB9"/>
    <w:rsid w:val="00880EE2"/>
    <w:rsid w:val="00881429"/>
    <w:rsid w:val="00884FF7"/>
    <w:rsid w:val="00885166"/>
    <w:rsid w:val="00890349"/>
    <w:rsid w:val="00891EC1"/>
    <w:rsid w:val="00894ACE"/>
    <w:rsid w:val="008969EE"/>
    <w:rsid w:val="00896DCE"/>
    <w:rsid w:val="008A0670"/>
    <w:rsid w:val="008A4140"/>
    <w:rsid w:val="008A45A7"/>
    <w:rsid w:val="008A5571"/>
    <w:rsid w:val="008B1836"/>
    <w:rsid w:val="008B19D9"/>
    <w:rsid w:val="008B1FD3"/>
    <w:rsid w:val="008B204B"/>
    <w:rsid w:val="008B7EC6"/>
    <w:rsid w:val="008C3CA9"/>
    <w:rsid w:val="008C49AE"/>
    <w:rsid w:val="008C59F7"/>
    <w:rsid w:val="008C6F19"/>
    <w:rsid w:val="008D253E"/>
    <w:rsid w:val="008E029D"/>
    <w:rsid w:val="008E2BA3"/>
    <w:rsid w:val="008E2C42"/>
    <w:rsid w:val="008E4982"/>
    <w:rsid w:val="008E5FEB"/>
    <w:rsid w:val="008E7687"/>
    <w:rsid w:val="008F0E3C"/>
    <w:rsid w:val="008F11FA"/>
    <w:rsid w:val="008F30BE"/>
    <w:rsid w:val="008F33A3"/>
    <w:rsid w:val="008F33AE"/>
    <w:rsid w:val="008F476A"/>
    <w:rsid w:val="008F4ACA"/>
    <w:rsid w:val="008F6BF3"/>
    <w:rsid w:val="009027A2"/>
    <w:rsid w:val="009030DF"/>
    <w:rsid w:val="00904A25"/>
    <w:rsid w:val="00904F15"/>
    <w:rsid w:val="009060E8"/>
    <w:rsid w:val="00910081"/>
    <w:rsid w:val="0091072A"/>
    <w:rsid w:val="009110EA"/>
    <w:rsid w:val="00912D0A"/>
    <w:rsid w:val="00912F98"/>
    <w:rsid w:val="00915C29"/>
    <w:rsid w:val="00917FBB"/>
    <w:rsid w:val="0092012C"/>
    <w:rsid w:val="009219CA"/>
    <w:rsid w:val="009223D3"/>
    <w:rsid w:val="00923BFD"/>
    <w:rsid w:val="00923DB1"/>
    <w:rsid w:val="00925696"/>
    <w:rsid w:val="00926867"/>
    <w:rsid w:val="00926971"/>
    <w:rsid w:val="009309D5"/>
    <w:rsid w:val="00931D7A"/>
    <w:rsid w:val="00932155"/>
    <w:rsid w:val="00935D8D"/>
    <w:rsid w:val="009374CC"/>
    <w:rsid w:val="00941A01"/>
    <w:rsid w:val="00942583"/>
    <w:rsid w:val="00942E90"/>
    <w:rsid w:val="00942FE8"/>
    <w:rsid w:val="0094631D"/>
    <w:rsid w:val="00955461"/>
    <w:rsid w:val="00956C90"/>
    <w:rsid w:val="00957E70"/>
    <w:rsid w:val="0096275D"/>
    <w:rsid w:val="00963DC3"/>
    <w:rsid w:val="0097099A"/>
    <w:rsid w:val="00970DAB"/>
    <w:rsid w:val="00970DD2"/>
    <w:rsid w:val="00972FF6"/>
    <w:rsid w:val="0097321D"/>
    <w:rsid w:val="00973836"/>
    <w:rsid w:val="00981A5E"/>
    <w:rsid w:val="0098236F"/>
    <w:rsid w:val="00983289"/>
    <w:rsid w:val="00984541"/>
    <w:rsid w:val="009848D7"/>
    <w:rsid w:val="0098557D"/>
    <w:rsid w:val="009856E4"/>
    <w:rsid w:val="0098581F"/>
    <w:rsid w:val="00992531"/>
    <w:rsid w:val="00993399"/>
    <w:rsid w:val="00995CD5"/>
    <w:rsid w:val="009A1787"/>
    <w:rsid w:val="009A1BFA"/>
    <w:rsid w:val="009A4F5A"/>
    <w:rsid w:val="009A58D1"/>
    <w:rsid w:val="009A720A"/>
    <w:rsid w:val="009B1F44"/>
    <w:rsid w:val="009B4573"/>
    <w:rsid w:val="009B58D3"/>
    <w:rsid w:val="009C002A"/>
    <w:rsid w:val="009C19C3"/>
    <w:rsid w:val="009C6836"/>
    <w:rsid w:val="009C7149"/>
    <w:rsid w:val="009D1B07"/>
    <w:rsid w:val="009D42AD"/>
    <w:rsid w:val="009D55FB"/>
    <w:rsid w:val="009E09D6"/>
    <w:rsid w:val="009E278C"/>
    <w:rsid w:val="009E289A"/>
    <w:rsid w:val="009E2F4E"/>
    <w:rsid w:val="009E32A0"/>
    <w:rsid w:val="009E462A"/>
    <w:rsid w:val="009E6DDE"/>
    <w:rsid w:val="009F48C1"/>
    <w:rsid w:val="009F5459"/>
    <w:rsid w:val="009F6EDC"/>
    <w:rsid w:val="00A0023A"/>
    <w:rsid w:val="00A035CE"/>
    <w:rsid w:val="00A04AD0"/>
    <w:rsid w:val="00A0537F"/>
    <w:rsid w:val="00A05CF6"/>
    <w:rsid w:val="00A0602E"/>
    <w:rsid w:val="00A06C1F"/>
    <w:rsid w:val="00A07FFA"/>
    <w:rsid w:val="00A11FB4"/>
    <w:rsid w:val="00A1550B"/>
    <w:rsid w:val="00A1690A"/>
    <w:rsid w:val="00A16991"/>
    <w:rsid w:val="00A17D50"/>
    <w:rsid w:val="00A23340"/>
    <w:rsid w:val="00A24147"/>
    <w:rsid w:val="00A24B73"/>
    <w:rsid w:val="00A2753B"/>
    <w:rsid w:val="00A31677"/>
    <w:rsid w:val="00A32495"/>
    <w:rsid w:val="00A32DA4"/>
    <w:rsid w:val="00A35782"/>
    <w:rsid w:val="00A35CD9"/>
    <w:rsid w:val="00A362F9"/>
    <w:rsid w:val="00A368FF"/>
    <w:rsid w:val="00A40EEB"/>
    <w:rsid w:val="00A41A82"/>
    <w:rsid w:val="00A42470"/>
    <w:rsid w:val="00A43EE6"/>
    <w:rsid w:val="00A4663E"/>
    <w:rsid w:val="00A46B60"/>
    <w:rsid w:val="00A5564A"/>
    <w:rsid w:val="00A60F49"/>
    <w:rsid w:val="00A61B63"/>
    <w:rsid w:val="00A61E15"/>
    <w:rsid w:val="00A62910"/>
    <w:rsid w:val="00A6435B"/>
    <w:rsid w:val="00A65EC6"/>
    <w:rsid w:val="00A66801"/>
    <w:rsid w:val="00A66F23"/>
    <w:rsid w:val="00A66F91"/>
    <w:rsid w:val="00A70229"/>
    <w:rsid w:val="00A723E5"/>
    <w:rsid w:val="00A73429"/>
    <w:rsid w:val="00A75186"/>
    <w:rsid w:val="00A80B17"/>
    <w:rsid w:val="00A918D1"/>
    <w:rsid w:val="00A92167"/>
    <w:rsid w:val="00A938CA"/>
    <w:rsid w:val="00A93A9A"/>
    <w:rsid w:val="00A95828"/>
    <w:rsid w:val="00A95F90"/>
    <w:rsid w:val="00A97D44"/>
    <w:rsid w:val="00A97D53"/>
    <w:rsid w:val="00AA19CF"/>
    <w:rsid w:val="00AA2085"/>
    <w:rsid w:val="00AA3AB3"/>
    <w:rsid w:val="00AA5B63"/>
    <w:rsid w:val="00AA5C16"/>
    <w:rsid w:val="00AA776C"/>
    <w:rsid w:val="00AB2116"/>
    <w:rsid w:val="00AB3E25"/>
    <w:rsid w:val="00AB5FE8"/>
    <w:rsid w:val="00AB62ED"/>
    <w:rsid w:val="00AB7EF7"/>
    <w:rsid w:val="00AC13DE"/>
    <w:rsid w:val="00AC31D4"/>
    <w:rsid w:val="00AC3B19"/>
    <w:rsid w:val="00AC4679"/>
    <w:rsid w:val="00AC4A59"/>
    <w:rsid w:val="00AC4C84"/>
    <w:rsid w:val="00AC6098"/>
    <w:rsid w:val="00AC65F3"/>
    <w:rsid w:val="00AD036E"/>
    <w:rsid w:val="00AD448E"/>
    <w:rsid w:val="00AE1AFC"/>
    <w:rsid w:val="00AE1C7B"/>
    <w:rsid w:val="00AE2BCF"/>
    <w:rsid w:val="00AE2BF6"/>
    <w:rsid w:val="00AE32C5"/>
    <w:rsid w:val="00AE3370"/>
    <w:rsid w:val="00AE3810"/>
    <w:rsid w:val="00AE5149"/>
    <w:rsid w:val="00AE5F52"/>
    <w:rsid w:val="00AE64CA"/>
    <w:rsid w:val="00AF1AD6"/>
    <w:rsid w:val="00AF7092"/>
    <w:rsid w:val="00AF7ABF"/>
    <w:rsid w:val="00B02946"/>
    <w:rsid w:val="00B02B54"/>
    <w:rsid w:val="00B03736"/>
    <w:rsid w:val="00B03935"/>
    <w:rsid w:val="00B06E81"/>
    <w:rsid w:val="00B07D09"/>
    <w:rsid w:val="00B10A99"/>
    <w:rsid w:val="00B124B0"/>
    <w:rsid w:val="00B1324D"/>
    <w:rsid w:val="00B13EE1"/>
    <w:rsid w:val="00B157E2"/>
    <w:rsid w:val="00B175CE"/>
    <w:rsid w:val="00B208C1"/>
    <w:rsid w:val="00B24122"/>
    <w:rsid w:val="00B24A45"/>
    <w:rsid w:val="00B25B92"/>
    <w:rsid w:val="00B26948"/>
    <w:rsid w:val="00B275AF"/>
    <w:rsid w:val="00B315A4"/>
    <w:rsid w:val="00B316CF"/>
    <w:rsid w:val="00B319F0"/>
    <w:rsid w:val="00B32C8C"/>
    <w:rsid w:val="00B34469"/>
    <w:rsid w:val="00B344BE"/>
    <w:rsid w:val="00B345A8"/>
    <w:rsid w:val="00B34D51"/>
    <w:rsid w:val="00B368D2"/>
    <w:rsid w:val="00B36A0E"/>
    <w:rsid w:val="00B36BA1"/>
    <w:rsid w:val="00B40D67"/>
    <w:rsid w:val="00B415B1"/>
    <w:rsid w:val="00B43C45"/>
    <w:rsid w:val="00B44276"/>
    <w:rsid w:val="00B50027"/>
    <w:rsid w:val="00B5117F"/>
    <w:rsid w:val="00B52654"/>
    <w:rsid w:val="00B52DD2"/>
    <w:rsid w:val="00B55EE8"/>
    <w:rsid w:val="00B56E6C"/>
    <w:rsid w:val="00B606EF"/>
    <w:rsid w:val="00B6364A"/>
    <w:rsid w:val="00B63D0E"/>
    <w:rsid w:val="00B65480"/>
    <w:rsid w:val="00B66985"/>
    <w:rsid w:val="00B7040C"/>
    <w:rsid w:val="00B73E76"/>
    <w:rsid w:val="00B745CC"/>
    <w:rsid w:val="00B756CF"/>
    <w:rsid w:val="00B75F1A"/>
    <w:rsid w:val="00B83039"/>
    <w:rsid w:val="00B91171"/>
    <w:rsid w:val="00B9539B"/>
    <w:rsid w:val="00B96352"/>
    <w:rsid w:val="00B9651F"/>
    <w:rsid w:val="00BA5B00"/>
    <w:rsid w:val="00BA6AE8"/>
    <w:rsid w:val="00BA6F62"/>
    <w:rsid w:val="00BB1A07"/>
    <w:rsid w:val="00BB33A1"/>
    <w:rsid w:val="00BB6647"/>
    <w:rsid w:val="00BB6DAD"/>
    <w:rsid w:val="00BB7346"/>
    <w:rsid w:val="00BB7B99"/>
    <w:rsid w:val="00BC11D6"/>
    <w:rsid w:val="00BC14A5"/>
    <w:rsid w:val="00BC1555"/>
    <w:rsid w:val="00BC1DEB"/>
    <w:rsid w:val="00BC330E"/>
    <w:rsid w:val="00BC5EA1"/>
    <w:rsid w:val="00BC60A9"/>
    <w:rsid w:val="00BC7914"/>
    <w:rsid w:val="00BC7D61"/>
    <w:rsid w:val="00BC7F0F"/>
    <w:rsid w:val="00BC7F39"/>
    <w:rsid w:val="00BD35DF"/>
    <w:rsid w:val="00BD487E"/>
    <w:rsid w:val="00BE0C8A"/>
    <w:rsid w:val="00BE334D"/>
    <w:rsid w:val="00BE3B66"/>
    <w:rsid w:val="00BE41E0"/>
    <w:rsid w:val="00BE4988"/>
    <w:rsid w:val="00BE7DA9"/>
    <w:rsid w:val="00BF0936"/>
    <w:rsid w:val="00BF102A"/>
    <w:rsid w:val="00BF1AFB"/>
    <w:rsid w:val="00BF1C24"/>
    <w:rsid w:val="00BF5E73"/>
    <w:rsid w:val="00C0094A"/>
    <w:rsid w:val="00C0195D"/>
    <w:rsid w:val="00C0445B"/>
    <w:rsid w:val="00C04B0D"/>
    <w:rsid w:val="00C06939"/>
    <w:rsid w:val="00C10298"/>
    <w:rsid w:val="00C1036A"/>
    <w:rsid w:val="00C142C6"/>
    <w:rsid w:val="00C158DB"/>
    <w:rsid w:val="00C15DFE"/>
    <w:rsid w:val="00C1703D"/>
    <w:rsid w:val="00C21E3B"/>
    <w:rsid w:val="00C22859"/>
    <w:rsid w:val="00C23DCF"/>
    <w:rsid w:val="00C25BE3"/>
    <w:rsid w:val="00C277EB"/>
    <w:rsid w:val="00C303AF"/>
    <w:rsid w:val="00C316AD"/>
    <w:rsid w:val="00C348D5"/>
    <w:rsid w:val="00C349A2"/>
    <w:rsid w:val="00C35B1A"/>
    <w:rsid w:val="00C37518"/>
    <w:rsid w:val="00C40B6C"/>
    <w:rsid w:val="00C40BDA"/>
    <w:rsid w:val="00C41C7D"/>
    <w:rsid w:val="00C4245B"/>
    <w:rsid w:val="00C4314A"/>
    <w:rsid w:val="00C459D7"/>
    <w:rsid w:val="00C62C5E"/>
    <w:rsid w:val="00C63023"/>
    <w:rsid w:val="00C63743"/>
    <w:rsid w:val="00C70893"/>
    <w:rsid w:val="00C716B6"/>
    <w:rsid w:val="00C73034"/>
    <w:rsid w:val="00C75075"/>
    <w:rsid w:val="00C7551B"/>
    <w:rsid w:val="00C75CB1"/>
    <w:rsid w:val="00C76C6C"/>
    <w:rsid w:val="00C80EC5"/>
    <w:rsid w:val="00C83BF9"/>
    <w:rsid w:val="00C84C5D"/>
    <w:rsid w:val="00C85111"/>
    <w:rsid w:val="00C85E02"/>
    <w:rsid w:val="00C86BB9"/>
    <w:rsid w:val="00C86D0F"/>
    <w:rsid w:val="00C8772C"/>
    <w:rsid w:val="00C87733"/>
    <w:rsid w:val="00C87813"/>
    <w:rsid w:val="00C917CA"/>
    <w:rsid w:val="00C925F1"/>
    <w:rsid w:val="00C93FED"/>
    <w:rsid w:val="00C95010"/>
    <w:rsid w:val="00C95DBE"/>
    <w:rsid w:val="00CA19E0"/>
    <w:rsid w:val="00CA32E3"/>
    <w:rsid w:val="00CA43FD"/>
    <w:rsid w:val="00CA4602"/>
    <w:rsid w:val="00CA6968"/>
    <w:rsid w:val="00CA69EA"/>
    <w:rsid w:val="00CB18EB"/>
    <w:rsid w:val="00CB2ED3"/>
    <w:rsid w:val="00CB3224"/>
    <w:rsid w:val="00CB3B2F"/>
    <w:rsid w:val="00CB43A2"/>
    <w:rsid w:val="00CB441E"/>
    <w:rsid w:val="00CB4EB1"/>
    <w:rsid w:val="00CB5E2F"/>
    <w:rsid w:val="00CC0B53"/>
    <w:rsid w:val="00CC377D"/>
    <w:rsid w:val="00CC4E9E"/>
    <w:rsid w:val="00CC5D72"/>
    <w:rsid w:val="00CC5FCC"/>
    <w:rsid w:val="00CC6016"/>
    <w:rsid w:val="00CC72E9"/>
    <w:rsid w:val="00CD0879"/>
    <w:rsid w:val="00CD10EE"/>
    <w:rsid w:val="00CD11F5"/>
    <w:rsid w:val="00CD25C2"/>
    <w:rsid w:val="00CD7B6D"/>
    <w:rsid w:val="00CE0081"/>
    <w:rsid w:val="00CE0C52"/>
    <w:rsid w:val="00CE24E5"/>
    <w:rsid w:val="00CE41DB"/>
    <w:rsid w:val="00CE443A"/>
    <w:rsid w:val="00CE4D96"/>
    <w:rsid w:val="00CE5DF6"/>
    <w:rsid w:val="00CF1333"/>
    <w:rsid w:val="00CF35F3"/>
    <w:rsid w:val="00CF49F2"/>
    <w:rsid w:val="00CF576C"/>
    <w:rsid w:val="00CF61FE"/>
    <w:rsid w:val="00CF6BA3"/>
    <w:rsid w:val="00D02693"/>
    <w:rsid w:val="00D02FFC"/>
    <w:rsid w:val="00D037B1"/>
    <w:rsid w:val="00D04BC8"/>
    <w:rsid w:val="00D059A3"/>
    <w:rsid w:val="00D06F73"/>
    <w:rsid w:val="00D07126"/>
    <w:rsid w:val="00D07502"/>
    <w:rsid w:val="00D078C4"/>
    <w:rsid w:val="00D07B14"/>
    <w:rsid w:val="00D1310B"/>
    <w:rsid w:val="00D15EA5"/>
    <w:rsid w:val="00D166E9"/>
    <w:rsid w:val="00D16F63"/>
    <w:rsid w:val="00D20EC7"/>
    <w:rsid w:val="00D2100B"/>
    <w:rsid w:val="00D23022"/>
    <w:rsid w:val="00D23BDC"/>
    <w:rsid w:val="00D23D11"/>
    <w:rsid w:val="00D3089E"/>
    <w:rsid w:val="00D31D7A"/>
    <w:rsid w:val="00D31F9F"/>
    <w:rsid w:val="00D33D2F"/>
    <w:rsid w:val="00D33E60"/>
    <w:rsid w:val="00D3699C"/>
    <w:rsid w:val="00D40C56"/>
    <w:rsid w:val="00D420A1"/>
    <w:rsid w:val="00D44228"/>
    <w:rsid w:val="00D44D77"/>
    <w:rsid w:val="00D45155"/>
    <w:rsid w:val="00D460E7"/>
    <w:rsid w:val="00D471C6"/>
    <w:rsid w:val="00D4720A"/>
    <w:rsid w:val="00D57729"/>
    <w:rsid w:val="00D61A8B"/>
    <w:rsid w:val="00D6262C"/>
    <w:rsid w:val="00D63A2A"/>
    <w:rsid w:val="00D63ABC"/>
    <w:rsid w:val="00D66D82"/>
    <w:rsid w:val="00D6750D"/>
    <w:rsid w:val="00D675F1"/>
    <w:rsid w:val="00D71974"/>
    <w:rsid w:val="00D72117"/>
    <w:rsid w:val="00D73B96"/>
    <w:rsid w:val="00D76834"/>
    <w:rsid w:val="00D76C00"/>
    <w:rsid w:val="00D80807"/>
    <w:rsid w:val="00D80F67"/>
    <w:rsid w:val="00D8355D"/>
    <w:rsid w:val="00D86917"/>
    <w:rsid w:val="00D86AB6"/>
    <w:rsid w:val="00D87553"/>
    <w:rsid w:val="00D900C6"/>
    <w:rsid w:val="00D90702"/>
    <w:rsid w:val="00D92F9A"/>
    <w:rsid w:val="00D9427D"/>
    <w:rsid w:val="00D95784"/>
    <w:rsid w:val="00D96128"/>
    <w:rsid w:val="00D97DFF"/>
    <w:rsid w:val="00D97FFC"/>
    <w:rsid w:val="00DA23A2"/>
    <w:rsid w:val="00DA280B"/>
    <w:rsid w:val="00DA36EE"/>
    <w:rsid w:val="00DA452E"/>
    <w:rsid w:val="00DA484B"/>
    <w:rsid w:val="00DA5128"/>
    <w:rsid w:val="00DB308D"/>
    <w:rsid w:val="00DB5F40"/>
    <w:rsid w:val="00DB7951"/>
    <w:rsid w:val="00DC42CB"/>
    <w:rsid w:val="00DC4344"/>
    <w:rsid w:val="00DC6112"/>
    <w:rsid w:val="00DC7608"/>
    <w:rsid w:val="00DD1E47"/>
    <w:rsid w:val="00DD2F91"/>
    <w:rsid w:val="00DD57D0"/>
    <w:rsid w:val="00DD61A9"/>
    <w:rsid w:val="00DD6EF1"/>
    <w:rsid w:val="00DD7723"/>
    <w:rsid w:val="00DE0FC3"/>
    <w:rsid w:val="00DE122A"/>
    <w:rsid w:val="00DE4958"/>
    <w:rsid w:val="00DF2CE8"/>
    <w:rsid w:val="00DF51A9"/>
    <w:rsid w:val="00DF598F"/>
    <w:rsid w:val="00DF5B65"/>
    <w:rsid w:val="00DF5D5E"/>
    <w:rsid w:val="00DF69FD"/>
    <w:rsid w:val="00DF6FF8"/>
    <w:rsid w:val="00DF71EE"/>
    <w:rsid w:val="00E00CB8"/>
    <w:rsid w:val="00E01A1E"/>
    <w:rsid w:val="00E03FFF"/>
    <w:rsid w:val="00E04361"/>
    <w:rsid w:val="00E044B8"/>
    <w:rsid w:val="00E0610F"/>
    <w:rsid w:val="00E064F1"/>
    <w:rsid w:val="00E064FD"/>
    <w:rsid w:val="00E06AF5"/>
    <w:rsid w:val="00E1053A"/>
    <w:rsid w:val="00E11C05"/>
    <w:rsid w:val="00E14A4F"/>
    <w:rsid w:val="00E175DB"/>
    <w:rsid w:val="00E23BC0"/>
    <w:rsid w:val="00E24A6E"/>
    <w:rsid w:val="00E25EAB"/>
    <w:rsid w:val="00E265B7"/>
    <w:rsid w:val="00E26AF3"/>
    <w:rsid w:val="00E276E0"/>
    <w:rsid w:val="00E27D91"/>
    <w:rsid w:val="00E3128B"/>
    <w:rsid w:val="00E314EA"/>
    <w:rsid w:val="00E32428"/>
    <w:rsid w:val="00E33FDA"/>
    <w:rsid w:val="00E36BE3"/>
    <w:rsid w:val="00E403B5"/>
    <w:rsid w:val="00E406D5"/>
    <w:rsid w:val="00E41D24"/>
    <w:rsid w:val="00E473D0"/>
    <w:rsid w:val="00E50918"/>
    <w:rsid w:val="00E50C1A"/>
    <w:rsid w:val="00E51297"/>
    <w:rsid w:val="00E5207F"/>
    <w:rsid w:val="00E52C24"/>
    <w:rsid w:val="00E53E6F"/>
    <w:rsid w:val="00E54848"/>
    <w:rsid w:val="00E54D79"/>
    <w:rsid w:val="00E54E18"/>
    <w:rsid w:val="00E55127"/>
    <w:rsid w:val="00E558ED"/>
    <w:rsid w:val="00E55DB1"/>
    <w:rsid w:val="00E564B0"/>
    <w:rsid w:val="00E56701"/>
    <w:rsid w:val="00E62754"/>
    <w:rsid w:val="00E6359B"/>
    <w:rsid w:val="00E63F24"/>
    <w:rsid w:val="00E64D2D"/>
    <w:rsid w:val="00E655D1"/>
    <w:rsid w:val="00E65FF2"/>
    <w:rsid w:val="00E66EDD"/>
    <w:rsid w:val="00E6748A"/>
    <w:rsid w:val="00E70C7D"/>
    <w:rsid w:val="00E741F9"/>
    <w:rsid w:val="00E755C9"/>
    <w:rsid w:val="00E75DEA"/>
    <w:rsid w:val="00E76560"/>
    <w:rsid w:val="00E76912"/>
    <w:rsid w:val="00E76E87"/>
    <w:rsid w:val="00E86B53"/>
    <w:rsid w:val="00E86D79"/>
    <w:rsid w:val="00E9110B"/>
    <w:rsid w:val="00E925B5"/>
    <w:rsid w:val="00E950A6"/>
    <w:rsid w:val="00E957A8"/>
    <w:rsid w:val="00EA0936"/>
    <w:rsid w:val="00EA2625"/>
    <w:rsid w:val="00EA2B6F"/>
    <w:rsid w:val="00EA57E5"/>
    <w:rsid w:val="00EA5B9B"/>
    <w:rsid w:val="00EB24B8"/>
    <w:rsid w:val="00EB2590"/>
    <w:rsid w:val="00EB33DF"/>
    <w:rsid w:val="00EB3478"/>
    <w:rsid w:val="00EB4B39"/>
    <w:rsid w:val="00EB5F18"/>
    <w:rsid w:val="00EB6405"/>
    <w:rsid w:val="00EB6FE3"/>
    <w:rsid w:val="00EC16B4"/>
    <w:rsid w:val="00EC2ACD"/>
    <w:rsid w:val="00EC35ED"/>
    <w:rsid w:val="00EC37D9"/>
    <w:rsid w:val="00EC4D7A"/>
    <w:rsid w:val="00EC7073"/>
    <w:rsid w:val="00EC7F42"/>
    <w:rsid w:val="00ED6196"/>
    <w:rsid w:val="00ED7574"/>
    <w:rsid w:val="00EE0F65"/>
    <w:rsid w:val="00EE14A6"/>
    <w:rsid w:val="00EE27A8"/>
    <w:rsid w:val="00EE45A9"/>
    <w:rsid w:val="00EF0130"/>
    <w:rsid w:val="00EF05C9"/>
    <w:rsid w:val="00EF3391"/>
    <w:rsid w:val="00EF4168"/>
    <w:rsid w:val="00EF4888"/>
    <w:rsid w:val="00EF4DA6"/>
    <w:rsid w:val="00EF6FA3"/>
    <w:rsid w:val="00F046FE"/>
    <w:rsid w:val="00F05618"/>
    <w:rsid w:val="00F117C7"/>
    <w:rsid w:val="00F127A3"/>
    <w:rsid w:val="00F132E3"/>
    <w:rsid w:val="00F20D72"/>
    <w:rsid w:val="00F246A1"/>
    <w:rsid w:val="00F24F53"/>
    <w:rsid w:val="00F26837"/>
    <w:rsid w:val="00F26B6E"/>
    <w:rsid w:val="00F2784E"/>
    <w:rsid w:val="00F3029B"/>
    <w:rsid w:val="00F306C2"/>
    <w:rsid w:val="00F315DB"/>
    <w:rsid w:val="00F32407"/>
    <w:rsid w:val="00F3555D"/>
    <w:rsid w:val="00F35D4A"/>
    <w:rsid w:val="00F37917"/>
    <w:rsid w:val="00F42705"/>
    <w:rsid w:val="00F45E2D"/>
    <w:rsid w:val="00F50AA1"/>
    <w:rsid w:val="00F51242"/>
    <w:rsid w:val="00F51443"/>
    <w:rsid w:val="00F51AD2"/>
    <w:rsid w:val="00F5409D"/>
    <w:rsid w:val="00F547CB"/>
    <w:rsid w:val="00F5513E"/>
    <w:rsid w:val="00F55C18"/>
    <w:rsid w:val="00F56EDD"/>
    <w:rsid w:val="00F56F88"/>
    <w:rsid w:val="00F572E2"/>
    <w:rsid w:val="00F57BD2"/>
    <w:rsid w:val="00F63F3F"/>
    <w:rsid w:val="00F64AB6"/>
    <w:rsid w:val="00F650D4"/>
    <w:rsid w:val="00F6682C"/>
    <w:rsid w:val="00F66FA5"/>
    <w:rsid w:val="00F672FE"/>
    <w:rsid w:val="00F71678"/>
    <w:rsid w:val="00F7308F"/>
    <w:rsid w:val="00F730E3"/>
    <w:rsid w:val="00F739CD"/>
    <w:rsid w:val="00F755E9"/>
    <w:rsid w:val="00F776CB"/>
    <w:rsid w:val="00F8283A"/>
    <w:rsid w:val="00F83073"/>
    <w:rsid w:val="00F832C7"/>
    <w:rsid w:val="00F84D39"/>
    <w:rsid w:val="00F84FB5"/>
    <w:rsid w:val="00F8547C"/>
    <w:rsid w:val="00F85A19"/>
    <w:rsid w:val="00F909CD"/>
    <w:rsid w:val="00F915DA"/>
    <w:rsid w:val="00F91B7F"/>
    <w:rsid w:val="00F94A34"/>
    <w:rsid w:val="00F95707"/>
    <w:rsid w:val="00F95D67"/>
    <w:rsid w:val="00F974D1"/>
    <w:rsid w:val="00FA03A3"/>
    <w:rsid w:val="00FA16E0"/>
    <w:rsid w:val="00FA3485"/>
    <w:rsid w:val="00FA34D7"/>
    <w:rsid w:val="00FA439A"/>
    <w:rsid w:val="00FA47EE"/>
    <w:rsid w:val="00FA76CF"/>
    <w:rsid w:val="00FA7ACF"/>
    <w:rsid w:val="00FB0C4B"/>
    <w:rsid w:val="00FB24A7"/>
    <w:rsid w:val="00FB6882"/>
    <w:rsid w:val="00FB6D97"/>
    <w:rsid w:val="00FC4397"/>
    <w:rsid w:val="00FC788F"/>
    <w:rsid w:val="00FD05AD"/>
    <w:rsid w:val="00FD0666"/>
    <w:rsid w:val="00FD1AE1"/>
    <w:rsid w:val="00FD21D7"/>
    <w:rsid w:val="00FD26BE"/>
    <w:rsid w:val="00FD4FAC"/>
    <w:rsid w:val="00FD504F"/>
    <w:rsid w:val="00FD6D3F"/>
    <w:rsid w:val="00FD728B"/>
    <w:rsid w:val="00FD7295"/>
    <w:rsid w:val="00FE119C"/>
    <w:rsid w:val="00FE2187"/>
    <w:rsid w:val="00FE2654"/>
    <w:rsid w:val="00FE320C"/>
    <w:rsid w:val="00FE4469"/>
    <w:rsid w:val="00FE5EAB"/>
    <w:rsid w:val="00FE6B4D"/>
    <w:rsid w:val="00FE77CB"/>
    <w:rsid w:val="00FE7FFA"/>
    <w:rsid w:val="00FF604F"/>
    <w:rsid w:val="00FF76C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F05CDA8C-DE77-48BB-8D6A-8FDB56DA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B124B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numPr>
        <w:numId w:val="14"/>
      </w:numPr>
    </w:pPr>
  </w:style>
  <w:style w:type="paragraph" w:styleId="ListNumber">
    <w:name w:val="List Number"/>
    <w:basedOn w:val="Normal"/>
    <w:uiPriority w:val="1"/>
    <w:qFormat/>
    <w:rsid w:val="00894ACE"/>
    <w:pPr>
      <w:numPr>
        <w:numId w:val="15"/>
      </w:numPr>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numPr>
        <w:ilvl w:val="1"/>
        <w:numId w:val="14"/>
      </w:numPr>
    </w:pPr>
  </w:style>
  <w:style w:type="paragraph" w:styleId="ListNumber2">
    <w:name w:val="List Number 2"/>
    <w:basedOn w:val="Normal"/>
    <w:uiPriority w:val="1"/>
    <w:qFormat/>
    <w:rsid w:val="00894ACE"/>
    <w:pPr>
      <w:numPr>
        <w:ilvl w:val="1"/>
        <w:numId w:val="15"/>
      </w:numPr>
    </w:pPr>
  </w:style>
  <w:style w:type="paragraph" w:styleId="ListNumber3">
    <w:name w:val="List Number 3"/>
    <w:basedOn w:val="Normal"/>
    <w:uiPriority w:val="1"/>
    <w:qFormat/>
    <w:rsid w:val="00894ACE"/>
    <w:pPr>
      <w:numPr>
        <w:ilvl w:val="2"/>
        <w:numId w:val="15"/>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6"/>
      </w:numPr>
    </w:pPr>
  </w:style>
  <w:style w:type="paragraph" w:customStyle="1" w:styleId="ParagraphBullet2">
    <w:name w:val="Paragraph Bullet 2"/>
    <w:basedOn w:val="Normal"/>
    <w:uiPriority w:val="1"/>
    <w:rsid w:val="00452E7B"/>
    <w:pPr>
      <w:numPr>
        <w:ilvl w:val="1"/>
        <w:numId w:val="6"/>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9"/>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qFormat/>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0"/>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numPr>
        <w:ilvl w:val="2"/>
        <w:numId w:val="14"/>
      </w:numPr>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unhideWhenUsed/>
    <w:qFormat/>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1"/>
      </w:numPr>
    </w:pPr>
  </w:style>
  <w:style w:type="numbering" w:customStyle="1" w:styleId="GTTableNumbers">
    <w:name w:val="GT Table Numbers"/>
    <w:uiPriority w:val="99"/>
    <w:rsid w:val="00894ACE"/>
    <w:pPr>
      <w:numPr>
        <w:numId w:val="12"/>
      </w:numPr>
    </w:pPr>
  </w:style>
  <w:style w:type="paragraph" w:customStyle="1" w:styleId="TableBullet1">
    <w:name w:val="Table Bullet 1"/>
    <w:basedOn w:val="ListBullet"/>
    <w:uiPriority w:val="9"/>
    <w:qFormat/>
    <w:rsid w:val="00894ACE"/>
    <w:pPr>
      <w:numPr>
        <w:numId w:val="13"/>
      </w:numPr>
      <w:spacing w:before="60" w:after="60"/>
    </w:pPr>
  </w:style>
  <w:style w:type="paragraph" w:customStyle="1" w:styleId="TableBullet2">
    <w:name w:val="Table Bullet 2"/>
    <w:basedOn w:val="ListBullet2"/>
    <w:uiPriority w:val="9"/>
    <w:qFormat/>
    <w:rsid w:val="00894ACE"/>
    <w:pPr>
      <w:numPr>
        <w:numId w:val="13"/>
      </w:numPr>
      <w:spacing w:before="60" w:after="60"/>
    </w:pPr>
  </w:style>
  <w:style w:type="paragraph" w:customStyle="1" w:styleId="TableBullet3">
    <w:name w:val="Table Bullet 3"/>
    <w:basedOn w:val="ListBullet3"/>
    <w:uiPriority w:val="9"/>
    <w:qFormat/>
    <w:rsid w:val="00894ACE"/>
    <w:pPr>
      <w:numPr>
        <w:numId w:val="13"/>
      </w:numPr>
      <w:spacing w:before="60" w:after="60"/>
    </w:pPr>
  </w:style>
  <w:style w:type="paragraph" w:customStyle="1" w:styleId="TableNumber">
    <w:name w:val="Table Number"/>
    <w:basedOn w:val="ListNumber"/>
    <w:uiPriority w:val="9"/>
    <w:qFormat/>
    <w:rsid w:val="00894ACE"/>
    <w:pPr>
      <w:numPr>
        <w:numId w:val="12"/>
      </w:numPr>
      <w:spacing w:before="60" w:after="60"/>
    </w:pPr>
  </w:style>
  <w:style w:type="paragraph" w:customStyle="1" w:styleId="TableNumber2">
    <w:name w:val="Table Number 2"/>
    <w:basedOn w:val="ListNumber2"/>
    <w:uiPriority w:val="9"/>
    <w:qFormat/>
    <w:rsid w:val="00894ACE"/>
    <w:pPr>
      <w:numPr>
        <w:numId w:val="12"/>
      </w:numPr>
      <w:spacing w:before="60" w:after="60"/>
    </w:pPr>
  </w:style>
  <w:style w:type="paragraph" w:customStyle="1" w:styleId="TableNumber3">
    <w:name w:val="Table Number 3"/>
    <w:basedOn w:val="ListNumber3"/>
    <w:uiPriority w:val="9"/>
    <w:qFormat/>
    <w:rsid w:val="00894ACE"/>
    <w:pPr>
      <w:numPr>
        <w:numId w:val="12"/>
      </w:numPr>
      <w:spacing w:before="60" w:after="60"/>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 w:type="character" w:customStyle="1" w:styleId="normaltextrun">
    <w:name w:val="normaltextrun"/>
    <w:basedOn w:val="DefaultParagraphFont"/>
    <w:rsid w:val="00E23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 w:id="159524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4921CD29944748902B241F7873773D" ma:contentTypeVersion="3" ma:contentTypeDescription="Create a new document." ma:contentTypeScope="" ma:versionID="c8502afa857c90986d720ae330a9456e">
  <xsd:schema xmlns:xsd="http://www.w3.org/2001/XMLSchema" xmlns:xs="http://www.w3.org/2001/XMLSchema" xmlns:p="http://schemas.microsoft.com/office/2006/metadata/properties" xmlns:ns2="6ed6f5d4-868a-4728-8668-4d6815ccdb31" targetNamespace="http://schemas.microsoft.com/office/2006/metadata/properties" ma:root="true" ma:fieldsID="11f70be91726130ce6bbbd6e90d6bee2" ns2:_="">
    <xsd:import namespace="6ed6f5d4-868a-4728-8668-4d6815ccdb3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6f5d4-868a-4728-8668-4d6815cc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443DCE-99E8-46DE-B57A-D7A2127A277B}">
  <ds:schemaRefs>
    <ds:schemaRef ds:uri="http://schemas.openxmlformats.org/officeDocument/2006/bibliography"/>
  </ds:schemaRefs>
</ds:datastoreItem>
</file>

<file path=customXml/itemProps2.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4.xml><?xml version="1.0" encoding="utf-8"?>
<ds:datastoreItem xmlns:ds="http://schemas.openxmlformats.org/officeDocument/2006/customXml" ds:itemID="{A156E4E4-3918-42D4-9169-4CF0744B1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6f5d4-868a-4728-8668-4d6815cc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Letter_GTSL.dotm</Template>
  <TotalTime>555</TotalTime>
  <Pages>8</Pages>
  <Words>2395</Words>
  <Characters>13831</Characters>
  <Application>Microsoft Office Word</Application>
  <DocSecurity>0</DocSecurity>
  <Lines>363</Lines>
  <Paragraphs>84</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16142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Chahweewan Srikhun</cp:lastModifiedBy>
  <cp:revision>241</cp:revision>
  <cp:lastPrinted>2026-02-24T15:12:00Z</cp:lastPrinted>
  <dcterms:created xsi:type="dcterms:W3CDTF">2023-02-19T17:34:00Z</dcterms:created>
  <dcterms:modified xsi:type="dcterms:W3CDTF">2026-02-25T16:43:00Z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0x0101003D4921CD29944748902B241F7873773D</vt:lpwstr>
  </property>
  <property fmtid="{D5CDD505-2E9C-101B-9397-08002B2CF9AE}" pid="4" name="Order">
    <vt:r8>271300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MediaServiceImageTags">
    <vt:lpwstr/>
  </property>
  <property fmtid="{D5CDD505-2E9C-101B-9397-08002B2CF9AE}" pid="10" name="ClassificationContentMarkingHeaderShapeIds">
    <vt:lpwstr>237850c4,5639991e,3cdd6d4c</vt:lpwstr>
  </property>
  <property fmtid="{D5CDD505-2E9C-101B-9397-08002B2CF9AE}" pid="11" name="ClassificationContentMarkingHeaderFontProps">
    <vt:lpwstr>#008000,8,Aptos</vt:lpwstr>
  </property>
  <property fmtid="{D5CDD505-2E9C-101B-9397-08002B2CF9AE}" pid="12" name="ClassificationContentMarkingHeaderText">
    <vt:lpwstr>[INTERNAL]</vt:lpwstr>
  </property>
  <property fmtid="{D5CDD505-2E9C-101B-9397-08002B2CF9AE}" pid="13" name="MSIP_Label_0e3f1ce4-6a10-47e1-b238-054283959072_Enabled">
    <vt:lpwstr>true</vt:lpwstr>
  </property>
  <property fmtid="{D5CDD505-2E9C-101B-9397-08002B2CF9AE}" pid="14" name="MSIP_Label_0e3f1ce4-6a10-47e1-b238-054283959072_SetDate">
    <vt:lpwstr>2026-02-25T14:13:23Z</vt:lpwstr>
  </property>
  <property fmtid="{D5CDD505-2E9C-101B-9397-08002B2CF9AE}" pid="15" name="MSIP_Label_0e3f1ce4-6a10-47e1-b238-054283959072_Method">
    <vt:lpwstr>Standard</vt:lpwstr>
  </property>
  <property fmtid="{D5CDD505-2E9C-101B-9397-08002B2CF9AE}" pid="16" name="MSIP_Label_0e3f1ce4-6a10-47e1-b238-054283959072_Name">
    <vt:lpwstr>Category II - Internal [Label]</vt:lpwstr>
  </property>
  <property fmtid="{D5CDD505-2E9C-101B-9397-08002B2CF9AE}" pid="17" name="MSIP_Label_0e3f1ce4-6a10-47e1-b238-054283959072_SiteId">
    <vt:lpwstr>1fb9db6d-1c63-4b85-807f-9ed44151cdac</vt:lpwstr>
  </property>
  <property fmtid="{D5CDD505-2E9C-101B-9397-08002B2CF9AE}" pid="18" name="MSIP_Label_0e3f1ce4-6a10-47e1-b238-054283959072_ActionId">
    <vt:lpwstr>f807045e-cd9d-407a-8520-44f2c8e22daa</vt:lpwstr>
  </property>
  <property fmtid="{D5CDD505-2E9C-101B-9397-08002B2CF9AE}" pid="19" name="MSIP_Label_0e3f1ce4-6a10-47e1-b238-054283959072_ContentBits">
    <vt:lpwstr>1</vt:lpwstr>
  </property>
  <property fmtid="{D5CDD505-2E9C-101B-9397-08002B2CF9AE}" pid="20" name="MSIP_Label_0e3f1ce4-6a10-47e1-b238-054283959072_Tag">
    <vt:lpwstr>10, 3, 0, 1</vt:lpwstr>
  </property>
</Properties>
</file>