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cs/>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line="360" w:lineRule="auto"/>
        <w:rPr>
          <w:rFonts w:ascii="Arial" w:hAnsi="Arial"/>
        </w:rPr>
      </w:pPr>
    </w:p>
    <w:p w14:paraId="0FB0B422" w14:textId="5DEFC925" w:rsidR="00E32428" w:rsidRPr="00347050" w:rsidRDefault="00926867" w:rsidP="002368AA">
      <w:pPr>
        <w:pStyle w:val="BodyText"/>
        <w:spacing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r w:rsidR="00EE557D" w:rsidRPr="00347050">
        <w:rPr>
          <w:rFonts w:ascii="Arial" w:hAnsi="Arial"/>
          <w:b/>
          <w:bCs/>
          <w:sz w:val="19"/>
          <w:szCs w:val="19"/>
        </w:rPr>
        <w:t>TTCL</w:t>
      </w:r>
      <w:r w:rsidRPr="00347050">
        <w:rPr>
          <w:rFonts w:ascii="Arial" w:hAnsi="Arial"/>
          <w:b/>
          <w:bCs/>
          <w:sz w:val="19"/>
          <w:szCs w:val="19"/>
        </w:rPr>
        <w:t xml:space="preserve"> 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43D4440A" w:rsidR="009D65A6" w:rsidRPr="00347050" w:rsidRDefault="00C936C2" w:rsidP="009D65A6">
      <w:pPr>
        <w:pStyle w:val="BodyText"/>
        <w:spacing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bookmarkStart w:id="1" w:name="_Hlk213890001"/>
      <w:r w:rsidR="00EE557D" w:rsidRPr="00347050">
        <w:rPr>
          <w:rFonts w:ascii="Arial" w:hAnsi="Arial"/>
          <w:sz w:val="19"/>
          <w:szCs w:val="19"/>
        </w:rPr>
        <w:t>TTCL</w:t>
      </w:r>
      <w:r w:rsidR="009D65A6" w:rsidRPr="00347050">
        <w:rPr>
          <w:rFonts w:ascii="Arial" w:hAnsi="Arial"/>
          <w:sz w:val="19"/>
          <w:szCs w:val="19"/>
        </w:rPr>
        <w:t xml:space="preserve"> Public Company Limited </w:t>
      </w:r>
      <w:r w:rsidR="00601989">
        <w:rPr>
          <w:rFonts w:ascii="Arial" w:hAnsi="Arial"/>
          <w:sz w:val="19"/>
          <w:szCs w:val="19"/>
        </w:rPr>
        <w:t>(the C</w:t>
      </w:r>
      <w:r w:rsidR="00313B74">
        <w:rPr>
          <w:rFonts w:ascii="Arial" w:hAnsi="Arial"/>
          <w:sz w:val="19"/>
          <w:szCs w:val="19"/>
        </w:rPr>
        <w:t>ompany)</w:t>
      </w:r>
      <w:r w:rsidR="005C2F97">
        <w:rPr>
          <w:rFonts w:ascii="Arial" w:hAnsi="Arial"/>
          <w:sz w:val="19"/>
          <w:szCs w:val="19"/>
        </w:rPr>
        <w:t xml:space="preserve"> </w:t>
      </w:r>
      <w:r w:rsidR="009D65A6" w:rsidRPr="00347050">
        <w:rPr>
          <w:rFonts w:ascii="Arial" w:hAnsi="Arial"/>
          <w:sz w:val="19"/>
          <w:szCs w:val="19"/>
        </w:rPr>
        <w:t>and its subsidiar</w:t>
      </w:r>
      <w:r w:rsidR="00546F9A" w:rsidRPr="00347050">
        <w:rPr>
          <w:rFonts w:ascii="Arial" w:hAnsi="Arial"/>
          <w:sz w:val="19"/>
          <w:szCs w:val="19"/>
        </w:rPr>
        <w:t>ies</w:t>
      </w:r>
      <w:r w:rsidR="00447116">
        <w:rPr>
          <w:rFonts w:ascii="Arial" w:hAnsi="Arial"/>
          <w:sz w:val="19"/>
          <w:szCs w:val="19"/>
        </w:rPr>
        <w:t xml:space="preserve"> (</w:t>
      </w:r>
      <w:r w:rsidR="00424834">
        <w:rPr>
          <w:rFonts w:ascii="Arial" w:hAnsi="Arial"/>
          <w:sz w:val="19"/>
          <w:szCs w:val="19"/>
        </w:rPr>
        <w:t>t</w:t>
      </w:r>
      <w:r w:rsidR="00447116">
        <w:rPr>
          <w:rFonts w:ascii="Arial" w:hAnsi="Arial"/>
          <w:sz w:val="19"/>
          <w:szCs w:val="19"/>
        </w:rPr>
        <w:t>he Group</w:t>
      </w:r>
      <w:r w:rsidR="00964AB7">
        <w:rPr>
          <w:rFonts w:ascii="Arial" w:hAnsi="Arial"/>
          <w:sz w:val="19"/>
          <w:szCs w:val="19"/>
        </w:rPr>
        <w:t xml:space="preserve">), </w:t>
      </w:r>
      <w:bookmarkEnd w:id="1"/>
      <w:r w:rsidR="00964AB7">
        <w:rPr>
          <w:rFonts w:ascii="Arial" w:hAnsi="Arial"/>
          <w:sz w:val="19"/>
          <w:szCs w:val="19"/>
        </w:rPr>
        <w:t xml:space="preserve">which </w:t>
      </w:r>
      <w:r w:rsidR="00A6605E" w:rsidRPr="00347050">
        <w:rPr>
          <w:rFonts w:ascii="Arial" w:hAnsi="Arial"/>
          <w:sz w:val="19"/>
          <w:szCs w:val="19"/>
        </w:rPr>
        <w:t>comprise the consolidated and separate statements of financial position as at</w:t>
      </w:r>
      <w:r w:rsidR="006B4C9C">
        <w:rPr>
          <w:rFonts w:ascii="Arial" w:hAnsi="Arial"/>
          <w:sz w:val="19"/>
          <w:szCs w:val="19"/>
        </w:rPr>
        <w:t xml:space="preserve"> </w:t>
      </w:r>
      <w:r w:rsidR="00CC04E0">
        <w:rPr>
          <w:rFonts w:ascii="Arial" w:hAnsi="Arial" w:cstheme="minorBidi"/>
          <w:sz w:val="19"/>
          <w:szCs w:val="24"/>
        </w:rPr>
        <w:t xml:space="preserve">30 </w:t>
      </w:r>
      <w:r w:rsidR="00405198">
        <w:rPr>
          <w:rFonts w:ascii="Arial" w:hAnsi="Arial" w:cstheme="minorBidi"/>
          <w:sz w:val="19"/>
          <w:szCs w:val="24"/>
        </w:rPr>
        <w:t>September</w:t>
      </w:r>
      <w:r w:rsidR="00986FC3">
        <w:rPr>
          <w:rFonts w:ascii="Arial" w:hAnsi="Arial" w:cstheme="minorBidi"/>
          <w:sz w:val="19"/>
          <w:szCs w:val="24"/>
        </w:rPr>
        <w:t xml:space="preserve"> 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CC04E0">
        <w:rPr>
          <w:rFonts w:ascii="Arial" w:hAnsi="Arial"/>
          <w:sz w:val="19"/>
          <w:szCs w:val="19"/>
        </w:rPr>
        <w:t xml:space="preserve"> for the three-month and </w:t>
      </w:r>
      <w:r w:rsidR="00405198">
        <w:rPr>
          <w:rFonts w:ascii="Arial" w:hAnsi="Arial"/>
          <w:sz w:val="19"/>
          <w:szCs w:val="19"/>
        </w:rPr>
        <w:t>nine</w:t>
      </w:r>
      <w:r w:rsidR="00CC04E0">
        <w:rPr>
          <w:rFonts w:ascii="Arial" w:hAnsi="Arial"/>
          <w:sz w:val="19"/>
          <w:szCs w:val="19"/>
        </w:rPr>
        <w:t>-month period</w:t>
      </w:r>
      <w:r w:rsidR="00E21D7E">
        <w:rPr>
          <w:rFonts w:ascii="Arial" w:hAnsi="Arial"/>
          <w:sz w:val="19"/>
          <w:szCs w:val="19"/>
        </w:rPr>
        <w:t>s</w:t>
      </w:r>
      <w:r w:rsidR="00F75FFE">
        <w:rPr>
          <w:rFonts w:ascii="Arial" w:hAnsi="Arial" w:cstheme="minorBidi" w:hint="cs"/>
          <w:sz w:val="19"/>
          <w:szCs w:val="24"/>
          <w:cs/>
        </w:rPr>
        <w:t xml:space="preserve"> </w:t>
      </w:r>
      <w:r w:rsidR="00F75FFE">
        <w:rPr>
          <w:rFonts w:ascii="Arial" w:hAnsi="Arial" w:cstheme="minorBidi"/>
          <w:sz w:val="19"/>
          <w:szCs w:val="24"/>
        </w:rPr>
        <w:t>then</w:t>
      </w:r>
      <w:r w:rsidR="00CC04E0">
        <w:rPr>
          <w:rFonts w:ascii="Arial" w:hAnsi="Arial"/>
          <w:sz w:val="19"/>
          <w:szCs w:val="19"/>
        </w:rPr>
        <w:t xml:space="preserve"> ended</w:t>
      </w:r>
      <w:r w:rsidR="00373005" w:rsidRPr="00347050">
        <w:rPr>
          <w:rFonts w:ascii="Arial" w:hAnsi="Arial"/>
          <w:sz w:val="19"/>
          <w:szCs w:val="19"/>
        </w:rPr>
        <w:t>,</w:t>
      </w:r>
      <w:r w:rsidR="00FD0173">
        <w:rPr>
          <w:rFonts w:ascii="Arial" w:hAnsi="Arial"/>
          <w:sz w:val="19"/>
          <w:szCs w:val="19"/>
        </w:rPr>
        <w:t xml:space="preserve"> </w:t>
      </w:r>
      <w:r w:rsidR="007A1B77">
        <w:rPr>
          <w:rFonts w:ascii="Arial" w:hAnsi="Arial"/>
          <w:sz w:val="19"/>
          <w:szCs w:val="19"/>
        </w:rPr>
        <w:t xml:space="preserve">the consolidated and separated </w:t>
      </w:r>
      <w:r w:rsidR="00145FB7">
        <w:rPr>
          <w:rFonts w:ascii="Arial" w:hAnsi="Arial"/>
          <w:sz w:val="19"/>
          <w:szCs w:val="19"/>
        </w:rPr>
        <w:t xml:space="preserve">financial information </w:t>
      </w:r>
      <w:r w:rsidR="007D3DD8">
        <w:rPr>
          <w:rFonts w:ascii="Arial" w:hAnsi="Arial"/>
          <w:sz w:val="19"/>
          <w:szCs w:val="19"/>
        </w:rPr>
        <w:t xml:space="preserve">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 xml:space="preserve">in equity and cash flows for the </w:t>
      </w:r>
      <w:r w:rsidR="00405198">
        <w:rPr>
          <w:rFonts w:ascii="Arial" w:hAnsi="Arial"/>
          <w:sz w:val="19"/>
          <w:szCs w:val="19"/>
        </w:rPr>
        <w:t>nine</w:t>
      </w:r>
      <w:r w:rsidR="00373005" w:rsidRPr="00347050">
        <w:rPr>
          <w:rFonts w:ascii="Arial" w:hAnsi="Arial"/>
          <w:sz w:val="19"/>
          <w:szCs w:val="19"/>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 xml:space="preserve">My responsibility is to </w:t>
      </w:r>
      <w:proofErr w:type="gramStart"/>
      <w:r w:rsidR="00373005" w:rsidRPr="007C0FA2">
        <w:rPr>
          <w:rFonts w:ascii="Arial" w:hAnsi="Arial"/>
          <w:spacing w:val="-4"/>
          <w:sz w:val="19"/>
          <w:szCs w:val="19"/>
        </w:rPr>
        <w:t>express</w:t>
      </w:r>
      <w:proofErr w:type="gramEnd"/>
      <w:r w:rsidR="00373005" w:rsidRPr="007C0FA2">
        <w:rPr>
          <w:rFonts w:ascii="Arial" w:hAnsi="Arial"/>
          <w:spacing w:val="-4"/>
          <w:sz w:val="19"/>
          <w:szCs w:val="19"/>
        </w:rPr>
        <w:t xml:space="preserve">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line="360" w:lineRule="auto"/>
        <w:jc w:val="thaiDistribute"/>
        <w:rPr>
          <w:rFonts w:ascii="Arial" w:hAnsi="Arial"/>
          <w:sz w:val="19"/>
          <w:szCs w:val="19"/>
        </w:rPr>
      </w:pPr>
    </w:p>
    <w:p w14:paraId="57C89E87" w14:textId="77777777" w:rsidR="00812D93" w:rsidRPr="00347050" w:rsidRDefault="00812D93" w:rsidP="009D65A6">
      <w:pPr>
        <w:pStyle w:val="BodyText"/>
        <w:spacing w:line="360" w:lineRule="auto"/>
        <w:jc w:val="thaiDistribute"/>
        <w:rPr>
          <w:rFonts w:ascii="Arial" w:hAnsi="Arial"/>
          <w:sz w:val="19"/>
          <w:szCs w:val="19"/>
        </w:rPr>
      </w:pPr>
    </w:p>
    <w:p w14:paraId="50F15CC7" w14:textId="77777777" w:rsidR="0086189B" w:rsidRPr="00347050" w:rsidRDefault="0086189B" w:rsidP="0086189B">
      <w:pPr>
        <w:pStyle w:val="BodyText"/>
        <w:spacing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2F4C1F80"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w:t>
      </w:r>
      <w:proofErr w:type="gramStart"/>
      <w:r w:rsidRPr="00347050">
        <w:rPr>
          <w:rFonts w:ascii="Arial" w:hAnsi="Arial"/>
          <w:sz w:val="19"/>
          <w:szCs w:val="19"/>
        </w:rPr>
        <w:t>persons</w:t>
      </w:r>
      <w:proofErr w:type="gramEnd"/>
      <w:r w:rsidRPr="00347050">
        <w:rPr>
          <w:rFonts w:ascii="Arial" w:hAnsi="Arial"/>
          <w:sz w:val="19"/>
          <w:szCs w:val="19"/>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w:t>
      </w:r>
      <w:proofErr w:type="gramStart"/>
      <w:r w:rsidRPr="00347050">
        <w:rPr>
          <w:rFonts w:ascii="Arial" w:hAnsi="Arial"/>
          <w:sz w:val="19"/>
          <w:szCs w:val="19"/>
        </w:rPr>
        <w:t>an audit opinion</w:t>
      </w:r>
      <w:proofErr w:type="gramEnd"/>
      <w:r w:rsidRPr="00347050">
        <w:rPr>
          <w:rFonts w:ascii="Arial" w:hAnsi="Arial"/>
          <w:sz w:val="19"/>
          <w:szCs w:val="19"/>
        </w:rPr>
        <w:t>.</w:t>
      </w:r>
    </w:p>
    <w:p w14:paraId="6226A98F" w14:textId="0C754255" w:rsidR="0086189B" w:rsidRPr="00347050" w:rsidRDefault="0086189B" w:rsidP="002368AA">
      <w:pPr>
        <w:pStyle w:val="BodyText"/>
        <w:spacing w:line="360" w:lineRule="auto"/>
        <w:rPr>
          <w:rFonts w:ascii="Arial" w:hAnsi="Arial"/>
          <w:sz w:val="19"/>
          <w:szCs w:val="19"/>
        </w:rPr>
      </w:pPr>
    </w:p>
    <w:p w14:paraId="74E5849E" w14:textId="77777777" w:rsidR="00E0111C" w:rsidRPr="00347050" w:rsidRDefault="00E0111C">
      <w:pPr>
        <w:rPr>
          <w:rFonts w:ascii="Arial" w:hAnsi="Arial"/>
          <w:b/>
          <w:bCs/>
          <w:sz w:val="19"/>
          <w:szCs w:val="19"/>
        </w:rPr>
      </w:pPr>
      <w:r w:rsidRPr="00347050">
        <w:rPr>
          <w:rFonts w:ascii="Arial" w:hAnsi="Arial"/>
          <w:b/>
          <w:bCs/>
          <w:sz w:val="19"/>
          <w:szCs w:val="19"/>
        </w:rPr>
        <w:br w:type="page"/>
      </w:r>
    </w:p>
    <w:p w14:paraId="605B790D" w14:textId="77777777" w:rsidR="00117936" w:rsidRPr="00C922FB" w:rsidRDefault="00117936" w:rsidP="00117936">
      <w:pPr>
        <w:overflowPunct w:val="0"/>
        <w:autoSpaceDE w:val="0"/>
        <w:autoSpaceDN w:val="0"/>
        <w:adjustRightInd w:val="0"/>
        <w:spacing w:line="360" w:lineRule="auto"/>
        <w:ind w:right="-43"/>
        <w:jc w:val="thaiDistribute"/>
        <w:textAlignment w:val="baseline"/>
        <w:rPr>
          <w:rFonts w:ascii="Arial" w:hAnsi="Arial"/>
          <w:b/>
          <w:bCs/>
          <w:sz w:val="19"/>
          <w:szCs w:val="19"/>
        </w:rPr>
      </w:pPr>
      <w:r w:rsidRPr="00C922FB">
        <w:rPr>
          <w:rFonts w:ascii="Arial" w:hAnsi="Arial"/>
          <w:b/>
          <w:bCs/>
          <w:sz w:val="19"/>
          <w:szCs w:val="19"/>
        </w:rPr>
        <w:lastRenderedPageBreak/>
        <w:t>Basis for Disclaimer of Conclusion</w:t>
      </w:r>
    </w:p>
    <w:p w14:paraId="2D093714" w14:textId="77777777" w:rsidR="00117936" w:rsidRDefault="00117936" w:rsidP="0086189B">
      <w:pPr>
        <w:spacing w:line="360" w:lineRule="auto"/>
        <w:jc w:val="thaiDistribute"/>
        <w:rPr>
          <w:rFonts w:ascii="Arial" w:hAnsi="Arial"/>
          <w:b/>
          <w:bCs/>
          <w:sz w:val="19"/>
          <w:szCs w:val="19"/>
        </w:rPr>
      </w:pPr>
    </w:p>
    <w:p w14:paraId="6F7BF26D" w14:textId="3B54881D" w:rsidR="00117936" w:rsidRPr="00C55F1D" w:rsidRDefault="00117936" w:rsidP="00C55F1D">
      <w:pPr>
        <w:pStyle w:val="BodyText"/>
        <w:spacing w:line="360" w:lineRule="auto"/>
        <w:jc w:val="thaiDistribute"/>
        <w:rPr>
          <w:rFonts w:ascii="Arial" w:hAnsi="Arial"/>
          <w:sz w:val="19"/>
          <w:szCs w:val="19"/>
        </w:rPr>
      </w:pPr>
      <w:r w:rsidRPr="00C55F1D">
        <w:rPr>
          <w:rFonts w:ascii="Arial" w:hAnsi="Arial"/>
          <w:sz w:val="19"/>
          <w:szCs w:val="19"/>
        </w:rPr>
        <w:t xml:space="preserve">As we considered the conditions of uncertainty that had impact </w:t>
      </w:r>
      <w:proofErr w:type="gramStart"/>
      <w:r w:rsidRPr="00C55F1D">
        <w:rPr>
          <w:rFonts w:ascii="Arial" w:hAnsi="Arial"/>
          <w:sz w:val="19"/>
          <w:szCs w:val="19"/>
        </w:rPr>
        <w:t>to</w:t>
      </w:r>
      <w:proofErr w:type="gramEnd"/>
      <w:r w:rsidRPr="00C55F1D">
        <w:rPr>
          <w:rFonts w:ascii="Arial" w:hAnsi="Arial"/>
          <w:sz w:val="19"/>
          <w:szCs w:val="19"/>
        </w:rPr>
        <w:t xml:space="preserve"> the future </w:t>
      </w:r>
      <w:proofErr w:type="gramStart"/>
      <w:r w:rsidRPr="00C55F1D">
        <w:rPr>
          <w:rFonts w:ascii="Arial" w:hAnsi="Arial"/>
          <w:sz w:val="19"/>
          <w:szCs w:val="19"/>
        </w:rPr>
        <w:t>outcomes</w:t>
      </w:r>
      <w:proofErr w:type="gramEnd"/>
      <w:r w:rsidRPr="00C55F1D">
        <w:rPr>
          <w:rFonts w:ascii="Arial" w:hAnsi="Arial"/>
          <w:sz w:val="19"/>
          <w:szCs w:val="19"/>
        </w:rPr>
        <w:t xml:space="preserve"> the Group’s and the Company’s operations </w:t>
      </w:r>
      <w:proofErr w:type="gramStart"/>
      <w:r w:rsidRPr="00C55F1D">
        <w:rPr>
          <w:rFonts w:ascii="Arial" w:hAnsi="Arial"/>
          <w:sz w:val="19"/>
          <w:szCs w:val="19"/>
        </w:rPr>
        <w:t>as</w:t>
      </w:r>
      <w:proofErr w:type="gramEnd"/>
      <w:r w:rsidRPr="00C55F1D">
        <w:rPr>
          <w:rFonts w:ascii="Arial" w:hAnsi="Arial"/>
          <w:sz w:val="19"/>
          <w:szCs w:val="19"/>
        </w:rPr>
        <w:t xml:space="preserve"> follows:</w:t>
      </w:r>
    </w:p>
    <w:p w14:paraId="21704DF4" w14:textId="77777777" w:rsidR="00493A2C" w:rsidRPr="00117936" w:rsidRDefault="00493A2C" w:rsidP="00117936">
      <w:pPr>
        <w:autoSpaceDE w:val="0"/>
        <w:autoSpaceDN w:val="0"/>
        <w:adjustRightInd w:val="0"/>
        <w:spacing w:before="240" w:after="240"/>
        <w:jc w:val="both"/>
        <w:rPr>
          <w:rFonts w:ascii="Arial" w:hAnsi="Arial" w:cs="Arial"/>
          <w:sz w:val="19"/>
          <w:szCs w:val="19"/>
          <w:lang w:val="en-GB"/>
        </w:rPr>
      </w:pPr>
    </w:p>
    <w:p w14:paraId="4EC1C14B" w14:textId="1436467D" w:rsidR="00117936" w:rsidRPr="00117936" w:rsidRDefault="00772706" w:rsidP="00117936">
      <w:pPr>
        <w:pStyle w:val="ListParagraph"/>
        <w:numPr>
          <w:ilvl w:val="0"/>
          <w:numId w:val="36"/>
        </w:numPr>
        <w:spacing w:line="360" w:lineRule="auto"/>
        <w:jc w:val="thaiDistribute"/>
        <w:rPr>
          <w:rFonts w:ascii="Arial" w:hAnsi="Arial"/>
          <w:sz w:val="19"/>
          <w:szCs w:val="19"/>
        </w:rPr>
      </w:pPr>
      <w:r w:rsidRPr="00772706">
        <w:rPr>
          <w:rFonts w:ascii="Arial" w:hAnsi="Arial"/>
          <w:sz w:val="19"/>
          <w:szCs w:val="19"/>
        </w:rPr>
        <w:t>Financial Liquidity and Debt Default</w:t>
      </w:r>
    </w:p>
    <w:p w14:paraId="7D081FAB" w14:textId="77777777" w:rsidR="00117936" w:rsidRPr="0032704C" w:rsidRDefault="00117936" w:rsidP="0032704C">
      <w:pPr>
        <w:pStyle w:val="ListParagraph"/>
        <w:spacing w:line="360" w:lineRule="auto"/>
        <w:jc w:val="thaiDistribute"/>
        <w:rPr>
          <w:rFonts w:ascii="Arial" w:hAnsi="Arial"/>
          <w:sz w:val="19"/>
          <w:szCs w:val="19"/>
        </w:rPr>
      </w:pPr>
    </w:p>
    <w:p w14:paraId="33460280" w14:textId="5959CBA8" w:rsidR="0032704C" w:rsidRPr="0032704C" w:rsidRDefault="0032704C" w:rsidP="0032704C">
      <w:pPr>
        <w:pStyle w:val="ListParagraph"/>
        <w:spacing w:line="360" w:lineRule="auto"/>
        <w:jc w:val="thaiDistribute"/>
        <w:rPr>
          <w:rFonts w:ascii="Arial" w:hAnsi="Arial"/>
          <w:sz w:val="19"/>
          <w:szCs w:val="19"/>
        </w:rPr>
      </w:pPr>
      <w:r w:rsidRPr="0032704C">
        <w:rPr>
          <w:rFonts w:ascii="Arial" w:hAnsi="Arial"/>
          <w:sz w:val="19"/>
          <w:szCs w:val="19"/>
        </w:rPr>
        <w:t xml:space="preserve">As disclosed in Note 27 to the interim financial information, the Company terminated construction work on three sustainable fuel development projects, significantly impacting financial liquidity and resulting in debt defaults. As a result, The Group and the Company had loss after income tax for the three-month period end 30 September 2025 of Baht </w:t>
      </w:r>
      <w:r w:rsidR="00D30E0B">
        <w:rPr>
          <w:rFonts w:ascii="Arial" w:hAnsi="Arial"/>
          <w:sz w:val="19"/>
          <w:szCs w:val="19"/>
        </w:rPr>
        <w:t>2,927.35</w:t>
      </w:r>
      <w:r w:rsidRPr="0032704C">
        <w:rPr>
          <w:rFonts w:ascii="Arial" w:hAnsi="Arial"/>
          <w:sz w:val="19"/>
          <w:szCs w:val="19"/>
        </w:rPr>
        <w:t xml:space="preserve"> million and </w:t>
      </w:r>
      <w:r w:rsidR="00D04649">
        <w:rPr>
          <w:rFonts w:ascii="Arial" w:hAnsi="Arial"/>
          <w:sz w:val="19"/>
          <w:szCs w:val="19"/>
        </w:rPr>
        <w:t xml:space="preserve">2,881.49 </w:t>
      </w:r>
      <w:r w:rsidRPr="0032704C">
        <w:rPr>
          <w:rFonts w:ascii="Arial" w:hAnsi="Arial"/>
          <w:sz w:val="19"/>
          <w:szCs w:val="19"/>
        </w:rPr>
        <w:t>million, respectively, and the Group and the Company had loss after income tax for the nine-month period end 30 September 2025 of Baht 4,778.40 million and 4,713.32 million, respectively, and the Group and the Company had negative cashflows from operating activities of Baht 994.13 million and 626.77 million, respectively and as at 30 September 2025</w:t>
      </w:r>
      <w:r w:rsidR="0071061B">
        <w:rPr>
          <w:rFonts w:ascii="Arial" w:hAnsi="Arial"/>
          <w:sz w:val="19"/>
          <w:szCs w:val="19"/>
        </w:rPr>
        <w:t>,</w:t>
      </w:r>
      <w:r w:rsidRPr="0032704C">
        <w:rPr>
          <w:rFonts w:ascii="Arial" w:hAnsi="Arial"/>
          <w:sz w:val="19"/>
          <w:szCs w:val="19"/>
        </w:rPr>
        <w:t xml:space="preserve"> the Group and the Company had </w:t>
      </w:r>
      <w:r w:rsidR="00845D0A">
        <w:rPr>
          <w:rFonts w:ascii="Arial" w:hAnsi="Arial"/>
          <w:sz w:val="19"/>
          <w:szCs w:val="19"/>
        </w:rPr>
        <w:t>capital deficiency</w:t>
      </w:r>
      <w:r w:rsidRPr="0032704C">
        <w:rPr>
          <w:rFonts w:ascii="Arial" w:hAnsi="Arial"/>
          <w:sz w:val="19"/>
          <w:szCs w:val="19"/>
        </w:rPr>
        <w:t xml:space="preserve"> of Baht 2,181.56 million and 2,163.27 million, respectively and the Group and the Company had current liabilities exceeded its current assets of Baht 7,003.22 million and Baht 7,884.69 million, respectively. The current liabilities mainly included trade and other payables, debentures,</w:t>
      </w:r>
      <w:r>
        <w:rPr>
          <w:rFonts w:ascii="Arial" w:hAnsi="Arial" w:hint="cs"/>
          <w:sz w:val="19"/>
          <w:szCs w:val="19"/>
          <w:cs/>
        </w:rPr>
        <w:t xml:space="preserve"> </w:t>
      </w:r>
      <w:r w:rsidRPr="0032704C">
        <w:rPr>
          <w:rFonts w:ascii="Arial" w:hAnsi="Arial"/>
          <w:sz w:val="19"/>
          <w:szCs w:val="19"/>
        </w:rPr>
        <w:t xml:space="preserve">payable to </w:t>
      </w:r>
      <w:proofErr w:type="gramStart"/>
      <w:r w:rsidRPr="0032704C">
        <w:rPr>
          <w:rFonts w:ascii="Arial" w:hAnsi="Arial"/>
          <w:sz w:val="19"/>
          <w:szCs w:val="19"/>
        </w:rPr>
        <w:t>bank</w:t>
      </w:r>
      <w:proofErr w:type="gramEnd"/>
      <w:r w:rsidRPr="0032704C">
        <w:rPr>
          <w:rFonts w:ascii="Arial" w:hAnsi="Arial"/>
          <w:sz w:val="19"/>
          <w:szCs w:val="19"/>
        </w:rPr>
        <w:t xml:space="preserve"> from </w:t>
      </w:r>
      <w:proofErr w:type="gramStart"/>
      <w:r w:rsidRPr="0032704C">
        <w:rPr>
          <w:rFonts w:ascii="Arial" w:hAnsi="Arial"/>
          <w:sz w:val="19"/>
          <w:szCs w:val="19"/>
        </w:rPr>
        <w:t>letter</w:t>
      </w:r>
      <w:proofErr w:type="gramEnd"/>
      <w:r w:rsidRPr="0032704C">
        <w:rPr>
          <w:rFonts w:ascii="Arial" w:hAnsi="Arial"/>
          <w:sz w:val="19"/>
          <w:szCs w:val="19"/>
        </w:rPr>
        <w:t xml:space="preserve"> of guarantee, short-term loans from financial institutions, and other current </w:t>
      </w:r>
      <w:r w:rsidR="00845D0A">
        <w:rPr>
          <w:rFonts w:ascii="Arial" w:hAnsi="Arial"/>
          <w:sz w:val="19"/>
          <w:szCs w:val="19"/>
        </w:rPr>
        <w:t>liabilities</w:t>
      </w:r>
      <w:r w:rsidRPr="0032704C">
        <w:rPr>
          <w:rFonts w:ascii="Arial" w:hAnsi="Arial"/>
          <w:sz w:val="19"/>
          <w:szCs w:val="19"/>
        </w:rPr>
        <w:t>.</w:t>
      </w:r>
    </w:p>
    <w:p w14:paraId="73A5DD84" w14:textId="77777777" w:rsidR="00AB235A" w:rsidRPr="0032704C" w:rsidRDefault="00AB235A" w:rsidP="00AB235A">
      <w:pPr>
        <w:pStyle w:val="ListParagraph"/>
        <w:spacing w:line="360" w:lineRule="auto"/>
        <w:jc w:val="thaiDistribute"/>
        <w:rPr>
          <w:rFonts w:ascii="Arial" w:hAnsi="Arial"/>
          <w:sz w:val="19"/>
          <w:szCs w:val="19"/>
        </w:rPr>
      </w:pPr>
    </w:p>
    <w:p w14:paraId="04C044A6" w14:textId="11C5E58C" w:rsidR="006A3BCB" w:rsidRPr="006A3BCB" w:rsidRDefault="006A3BCB" w:rsidP="006A3BCB">
      <w:pPr>
        <w:pStyle w:val="ListParagraph"/>
        <w:spacing w:line="360" w:lineRule="auto"/>
        <w:jc w:val="thaiDistribute"/>
        <w:rPr>
          <w:rFonts w:ascii="Arial" w:hAnsi="Arial"/>
          <w:sz w:val="19"/>
          <w:szCs w:val="19"/>
        </w:rPr>
      </w:pPr>
      <w:r w:rsidRPr="006A3BCB">
        <w:rPr>
          <w:rFonts w:ascii="Arial" w:hAnsi="Arial"/>
          <w:sz w:val="19"/>
          <w:szCs w:val="19"/>
        </w:rPr>
        <w:t xml:space="preserve">As disclosed in Notes 19 and 26, as </w:t>
      </w:r>
      <w:proofErr w:type="gramStart"/>
      <w:r w:rsidRPr="006A3BCB">
        <w:rPr>
          <w:rFonts w:ascii="Arial" w:hAnsi="Arial"/>
          <w:sz w:val="19"/>
          <w:szCs w:val="19"/>
        </w:rPr>
        <w:t>at</w:t>
      </w:r>
      <w:proofErr w:type="gramEnd"/>
      <w:r w:rsidRPr="006A3BCB">
        <w:rPr>
          <w:rFonts w:ascii="Arial" w:hAnsi="Arial"/>
          <w:sz w:val="19"/>
          <w:szCs w:val="19"/>
        </w:rPr>
        <w:t xml:space="preserve"> 30 September 2025, the Company breached certain financial covenants, including the debt-to-equity ratio stipulated in debenture agreements, and was unable to obtain debenture holder approval to defer debenture repayments totaling Baht 2,544.4</w:t>
      </w:r>
      <w:r w:rsidR="00126746">
        <w:rPr>
          <w:rFonts w:ascii="Arial" w:hAnsi="Arial"/>
          <w:sz w:val="19"/>
          <w:szCs w:val="19"/>
        </w:rPr>
        <w:t>0</w:t>
      </w:r>
      <w:r w:rsidRPr="006A3BCB">
        <w:rPr>
          <w:rFonts w:ascii="Arial" w:hAnsi="Arial"/>
          <w:sz w:val="19"/>
          <w:szCs w:val="19"/>
        </w:rPr>
        <w:t xml:space="preserve"> million. For payable to bank and short-term loans from financial institutions totaling Baht 1,426.07 million, lenders have the right to demand immediate repayment of all outstanding debentures and freeze remaining credit facilities.</w:t>
      </w:r>
    </w:p>
    <w:p w14:paraId="789EB6CF" w14:textId="77777777" w:rsidR="00AB235A" w:rsidRPr="00AB235A" w:rsidRDefault="00AB235A" w:rsidP="00AB235A">
      <w:pPr>
        <w:pStyle w:val="ListParagraph"/>
        <w:spacing w:line="360" w:lineRule="auto"/>
        <w:jc w:val="thaiDistribute"/>
        <w:rPr>
          <w:rFonts w:ascii="Arial" w:hAnsi="Arial"/>
          <w:sz w:val="19"/>
          <w:szCs w:val="19"/>
        </w:rPr>
      </w:pPr>
    </w:p>
    <w:p w14:paraId="09C181AC" w14:textId="0DE825BA" w:rsidR="00AB235A" w:rsidRDefault="009D3700" w:rsidP="00AB235A">
      <w:pPr>
        <w:pStyle w:val="ListParagraph"/>
        <w:spacing w:line="360" w:lineRule="auto"/>
        <w:jc w:val="thaiDistribute"/>
        <w:rPr>
          <w:rFonts w:ascii="Arial" w:hAnsi="Arial"/>
          <w:sz w:val="19"/>
          <w:szCs w:val="19"/>
        </w:rPr>
      </w:pPr>
      <w:r>
        <w:rPr>
          <w:rFonts w:ascii="Arial" w:hAnsi="Arial"/>
          <w:sz w:val="19"/>
          <w:szCs w:val="19"/>
        </w:rPr>
        <w:t xml:space="preserve">The </w:t>
      </w:r>
      <w:r w:rsidR="00EE0314">
        <w:rPr>
          <w:rFonts w:ascii="Arial" w:hAnsi="Arial"/>
          <w:sz w:val="19"/>
          <w:szCs w:val="19"/>
        </w:rPr>
        <w:t>Group and the Company</w:t>
      </w:r>
      <w:r w:rsidR="007204B7" w:rsidRPr="007204B7">
        <w:rPr>
          <w:rFonts w:ascii="Arial" w:hAnsi="Arial"/>
          <w:sz w:val="19"/>
          <w:szCs w:val="19"/>
        </w:rPr>
        <w:t xml:space="preserve"> </w:t>
      </w:r>
      <w:proofErr w:type="gramStart"/>
      <w:r w:rsidR="007204B7" w:rsidRPr="007204B7">
        <w:rPr>
          <w:rFonts w:ascii="Arial" w:hAnsi="Arial"/>
          <w:sz w:val="19"/>
          <w:szCs w:val="19"/>
        </w:rPr>
        <w:t>is</w:t>
      </w:r>
      <w:proofErr w:type="gramEnd"/>
      <w:r w:rsidR="007204B7" w:rsidRPr="007204B7">
        <w:rPr>
          <w:rFonts w:ascii="Arial" w:hAnsi="Arial"/>
          <w:sz w:val="19"/>
          <w:szCs w:val="19"/>
        </w:rPr>
        <w:t xml:space="preserve"> revising the business plan and operational strategy to address these challenges. The Company has filed a petition for business rehabilitation with the Central Bankruptcy Court and proposed rehabilitation planners. Negotiations are ongoing with project owners for cash collection and with creditors affected by the termination of construction contracts. Due to the Company has not yet secured funding or reached agreements to settle defaulted debts with financial institutions. These circumstances indicate that material uncertainties that may cast significant doubt on the Group's and the Company's ability to continue as a going concern</w:t>
      </w:r>
      <w:r w:rsidR="007204B7">
        <w:rPr>
          <w:rFonts w:ascii="Arial" w:hAnsi="Arial"/>
          <w:sz w:val="19"/>
          <w:szCs w:val="19"/>
        </w:rPr>
        <w:t>.</w:t>
      </w:r>
    </w:p>
    <w:p w14:paraId="020B9A2A" w14:textId="77777777" w:rsidR="00240E11" w:rsidRDefault="00240E11">
      <w:pPr>
        <w:rPr>
          <w:rFonts w:ascii="Arial" w:hAnsi="Arial"/>
          <w:sz w:val="19"/>
          <w:szCs w:val="19"/>
        </w:rPr>
      </w:pPr>
      <w:r>
        <w:rPr>
          <w:rFonts w:ascii="Arial" w:hAnsi="Arial"/>
          <w:sz w:val="19"/>
          <w:szCs w:val="19"/>
        </w:rPr>
        <w:br w:type="page"/>
      </w:r>
    </w:p>
    <w:p w14:paraId="360F7B9B" w14:textId="667A6F45" w:rsidR="005451B2" w:rsidRPr="00417FB6" w:rsidRDefault="00AB235A" w:rsidP="00417FB6">
      <w:pPr>
        <w:pStyle w:val="ListParagraph"/>
        <w:numPr>
          <w:ilvl w:val="0"/>
          <w:numId w:val="36"/>
        </w:numPr>
        <w:spacing w:line="360" w:lineRule="auto"/>
        <w:jc w:val="thaiDistribute"/>
        <w:rPr>
          <w:rFonts w:ascii="Arial" w:hAnsi="Arial"/>
          <w:sz w:val="19"/>
          <w:szCs w:val="19"/>
        </w:rPr>
      </w:pPr>
      <w:r w:rsidRPr="00AB235A">
        <w:rPr>
          <w:rFonts w:ascii="Arial" w:hAnsi="Arial"/>
          <w:sz w:val="19"/>
          <w:szCs w:val="19"/>
        </w:rPr>
        <w:lastRenderedPageBreak/>
        <w:t>Business Rehabilitation Proceedings</w:t>
      </w:r>
    </w:p>
    <w:p w14:paraId="4CA3FEE0" w14:textId="77777777" w:rsidR="00CA1E5F" w:rsidRPr="00417FB6" w:rsidRDefault="00CA1E5F" w:rsidP="00417FB6">
      <w:pPr>
        <w:spacing w:line="360" w:lineRule="auto"/>
        <w:ind w:left="360"/>
        <w:jc w:val="thaiDistribute"/>
        <w:rPr>
          <w:rFonts w:ascii="Arial" w:hAnsi="Arial"/>
          <w:sz w:val="19"/>
          <w:szCs w:val="19"/>
          <w:cs/>
        </w:rPr>
      </w:pPr>
    </w:p>
    <w:p w14:paraId="2CF13B5F" w14:textId="77777777" w:rsidR="003451E3" w:rsidRPr="003451E3" w:rsidRDefault="003451E3" w:rsidP="003451E3">
      <w:pPr>
        <w:pStyle w:val="ListParagraph"/>
        <w:spacing w:line="360" w:lineRule="auto"/>
        <w:jc w:val="thaiDistribute"/>
        <w:rPr>
          <w:rFonts w:ascii="Arial" w:hAnsi="Arial"/>
          <w:spacing w:val="-2"/>
          <w:sz w:val="19"/>
          <w:szCs w:val="19"/>
        </w:rPr>
      </w:pPr>
      <w:bookmarkStart w:id="2" w:name="_Hlk162349456"/>
      <w:r w:rsidRPr="003451E3">
        <w:rPr>
          <w:rFonts w:ascii="Arial" w:hAnsi="Arial"/>
          <w:spacing w:val="-2"/>
          <w:sz w:val="19"/>
          <w:szCs w:val="19"/>
        </w:rPr>
        <w:t>As disclosed in Notes 19 and 29, on 31 October 2025, the Board of Directors resolved to file a petition for business rehabilitation with the Central Bankruptcy Court. The petition was submitted on the same day, and on 3 November 2025, the Court accepted the filing, granted an Automatic Stay, and scheduled a hearing for 28 January 2026.</w:t>
      </w:r>
    </w:p>
    <w:p w14:paraId="41C8F782" w14:textId="77777777" w:rsidR="001D3629" w:rsidRPr="003451E3" w:rsidRDefault="001D3629" w:rsidP="003451E3">
      <w:pPr>
        <w:pStyle w:val="ListParagraph"/>
        <w:spacing w:line="360" w:lineRule="auto"/>
        <w:jc w:val="thaiDistribute"/>
        <w:rPr>
          <w:rFonts w:ascii="Arial" w:hAnsi="Arial"/>
          <w:spacing w:val="-2"/>
          <w:sz w:val="19"/>
          <w:szCs w:val="19"/>
        </w:rPr>
      </w:pPr>
    </w:p>
    <w:p w14:paraId="0B6BDD21" w14:textId="6B4AFD31" w:rsidR="00681837" w:rsidRDefault="003451E3" w:rsidP="003451E3">
      <w:pPr>
        <w:pStyle w:val="ListParagraph"/>
        <w:spacing w:line="360" w:lineRule="auto"/>
        <w:jc w:val="thaiDistribute"/>
        <w:rPr>
          <w:rFonts w:ascii="Arial" w:hAnsi="Arial"/>
          <w:spacing w:val="-2"/>
          <w:sz w:val="19"/>
          <w:szCs w:val="19"/>
        </w:rPr>
      </w:pPr>
      <w:r w:rsidRPr="003451E3">
        <w:rPr>
          <w:rFonts w:ascii="Arial" w:hAnsi="Arial"/>
          <w:spacing w:val="-2"/>
          <w:sz w:val="19"/>
          <w:szCs w:val="19"/>
        </w:rPr>
        <w:t>As of the audit report date</w:t>
      </w:r>
      <w:r w:rsidR="009A6A92">
        <w:rPr>
          <w:rFonts w:ascii="Arial" w:hAnsi="Arial"/>
          <w:spacing w:val="-2"/>
          <w:sz w:val="19"/>
          <w:szCs w:val="19"/>
        </w:rPr>
        <w:t xml:space="preserve"> on review of the interim financial information</w:t>
      </w:r>
      <w:r w:rsidRPr="003451E3">
        <w:rPr>
          <w:rFonts w:ascii="Arial" w:hAnsi="Arial"/>
          <w:spacing w:val="-2"/>
          <w:sz w:val="19"/>
          <w:szCs w:val="19"/>
        </w:rPr>
        <w:t>, litigation cases disclosed in Note 27 remain under investigation. The settlement of liabilities depends on several factors: the Court’s decision on rehabilitation, creditor approval of the rehabilitation plan, appointment of a planner, and successful execution of the plan. The Company’s ability to continue as a going concern is subject to significant uncertainties, including economic conditions, the industry outlook, creditor cooperation, and operational performance.</w:t>
      </w:r>
      <w:r w:rsidR="00145877" w:rsidRPr="00145877">
        <w:rPr>
          <w:rFonts w:ascii="Arial" w:hAnsi="Arial"/>
          <w:spacing w:val="-2"/>
          <w:sz w:val="19"/>
          <w:szCs w:val="19"/>
        </w:rPr>
        <w:t xml:space="preserve"> These circumstances indicate that material uncertainties that may cast significant doubt on the Group's and the Company's ability to continue as a going concern</w:t>
      </w:r>
      <w:r w:rsidR="009A6A92">
        <w:rPr>
          <w:rFonts w:ascii="Arial" w:hAnsi="Arial"/>
          <w:spacing w:val="-2"/>
          <w:sz w:val="19"/>
          <w:szCs w:val="19"/>
        </w:rPr>
        <w:t>.</w:t>
      </w:r>
    </w:p>
    <w:p w14:paraId="406D89F1" w14:textId="77777777" w:rsidR="003451E3" w:rsidRPr="00CA1E5F" w:rsidRDefault="003451E3" w:rsidP="003451E3">
      <w:pPr>
        <w:pStyle w:val="ListParagraph"/>
        <w:spacing w:line="360" w:lineRule="auto"/>
        <w:jc w:val="thaiDistribute"/>
        <w:rPr>
          <w:rFonts w:ascii="Arial" w:hAnsi="Arial"/>
          <w:sz w:val="19"/>
          <w:szCs w:val="19"/>
        </w:rPr>
      </w:pPr>
    </w:p>
    <w:bookmarkEnd w:id="2"/>
    <w:p w14:paraId="39B13EBA" w14:textId="77777777" w:rsidR="003451E3" w:rsidRDefault="003451E3" w:rsidP="00681837">
      <w:pPr>
        <w:pStyle w:val="ListParagraph"/>
        <w:numPr>
          <w:ilvl w:val="0"/>
          <w:numId w:val="36"/>
        </w:numPr>
        <w:spacing w:line="360" w:lineRule="auto"/>
        <w:jc w:val="thaiDistribute"/>
        <w:rPr>
          <w:rFonts w:ascii="Arial" w:hAnsi="Arial"/>
          <w:spacing w:val="-2"/>
          <w:sz w:val="19"/>
          <w:szCs w:val="19"/>
        </w:rPr>
      </w:pPr>
      <w:r w:rsidRPr="003451E3">
        <w:rPr>
          <w:rFonts w:ascii="Arial" w:hAnsi="Arial"/>
          <w:spacing w:val="-2"/>
          <w:sz w:val="19"/>
          <w:szCs w:val="19"/>
        </w:rPr>
        <w:t>Litigation and Contingent Liabilities</w:t>
      </w:r>
    </w:p>
    <w:p w14:paraId="6D2532A0" w14:textId="77777777" w:rsidR="003451E3" w:rsidRDefault="003451E3" w:rsidP="003451E3">
      <w:pPr>
        <w:pStyle w:val="ListParagraph"/>
        <w:spacing w:line="360" w:lineRule="auto"/>
        <w:jc w:val="thaiDistribute"/>
        <w:rPr>
          <w:rFonts w:ascii="Arial" w:hAnsi="Arial"/>
          <w:spacing w:val="-2"/>
          <w:sz w:val="19"/>
          <w:szCs w:val="19"/>
        </w:rPr>
      </w:pPr>
    </w:p>
    <w:p w14:paraId="707CCD40" w14:textId="579F13F9" w:rsidR="00EE2639" w:rsidRDefault="00502E16" w:rsidP="00502E16">
      <w:pPr>
        <w:pStyle w:val="ListParagraph"/>
        <w:spacing w:line="360" w:lineRule="auto"/>
        <w:jc w:val="thaiDistribute"/>
        <w:rPr>
          <w:rFonts w:ascii="Arial" w:hAnsi="Arial"/>
          <w:spacing w:val="-2"/>
          <w:sz w:val="19"/>
          <w:szCs w:val="19"/>
        </w:rPr>
      </w:pPr>
      <w:r w:rsidRPr="00502E16">
        <w:rPr>
          <w:rFonts w:ascii="Arial" w:hAnsi="Arial"/>
          <w:spacing w:val="-2"/>
          <w:sz w:val="19"/>
          <w:szCs w:val="19"/>
        </w:rPr>
        <w:t xml:space="preserve">As disclosed in Notes 27 and 28, the Company is involved in multiple lawsuits filed by other parties, including claims for breach of contract, damages, and other matters. These cases are currently under judicial consideration, and their outcomes cannot be determined at this time. Due to this uncertainty, management has not recognized any provisions for potential liabilities in the financial </w:t>
      </w:r>
      <w:r w:rsidR="00113B5E">
        <w:rPr>
          <w:rFonts w:ascii="Arial" w:hAnsi="Arial"/>
          <w:spacing w:val="-2"/>
          <w:sz w:val="19"/>
          <w:szCs w:val="19"/>
        </w:rPr>
        <w:t>information</w:t>
      </w:r>
      <w:r w:rsidRPr="00502E16">
        <w:rPr>
          <w:rFonts w:ascii="Arial" w:hAnsi="Arial"/>
          <w:spacing w:val="-2"/>
          <w:sz w:val="19"/>
          <w:szCs w:val="19"/>
        </w:rPr>
        <w:t xml:space="preserve">. </w:t>
      </w:r>
      <w:r w:rsidR="007E4204" w:rsidRPr="00F725C7">
        <w:rPr>
          <w:rFonts w:ascii="Arial" w:hAnsi="Arial"/>
          <w:spacing w:val="-2"/>
          <w:sz w:val="19"/>
          <w:szCs w:val="19"/>
        </w:rPr>
        <w:t xml:space="preserve">Therefore, the Company’s management is </w:t>
      </w:r>
      <w:r w:rsidRPr="00502E16">
        <w:rPr>
          <w:rFonts w:ascii="Arial" w:hAnsi="Arial"/>
          <w:spacing w:val="-2"/>
          <w:sz w:val="19"/>
          <w:szCs w:val="19"/>
        </w:rPr>
        <w:t>unable to assess the potential impact</w:t>
      </w:r>
      <w:r w:rsidR="007E4204" w:rsidRPr="00F725C7">
        <w:rPr>
          <w:rFonts w:ascii="Arial" w:hAnsi="Arial"/>
          <w:spacing w:val="-2"/>
          <w:sz w:val="19"/>
          <w:szCs w:val="19"/>
        </w:rPr>
        <w:t xml:space="preserve"> on such circumstance and unable to be concluded.  I am also unable to consider the effect (</w:t>
      </w:r>
      <w:r w:rsidRPr="00502E16">
        <w:rPr>
          <w:rFonts w:ascii="Arial" w:hAnsi="Arial"/>
          <w:spacing w:val="-2"/>
          <w:sz w:val="19"/>
          <w:szCs w:val="19"/>
        </w:rPr>
        <w:t>if any</w:t>
      </w:r>
      <w:r w:rsidR="007E4204" w:rsidRPr="00F725C7">
        <w:rPr>
          <w:rFonts w:ascii="Arial" w:hAnsi="Arial"/>
          <w:spacing w:val="-2"/>
          <w:sz w:val="19"/>
          <w:szCs w:val="19"/>
        </w:rPr>
        <w:t>) it may have on the contingent liabilities presented in the</w:t>
      </w:r>
      <w:r w:rsidRPr="00502E16">
        <w:rPr>
          <w:rFonts w:ascii="Arial" w:hAnsi="Arial"/>
          <w:spacing w:val="-2"/>
          <w:sz w:val="19"/>
          <w:szCs w:val="19"/>
        </w:rPr>
        <w:t xml:space="preserve"> consolidated and separate financial information </w:t>
      </w:r>
      <w:r w:rsidR="007E4204" w:rsidRPr="00F725C7">
        <w:rPr>
          <w:rFonts w:ascii="Arial" w:hAnsi="Arial"/>
          <w:spacing w:val="-2"/>
          <w:sz w:val="19"/>
          <w:szCs w:val="19"/>
        </w:rPr>
        <w:t>caused by the uncertainty and the limitation of situation</w:t>
      </w:r>
      <w:r w:rsidRPr="00502E16">
        <w:rPr>
          <w:rFonts w:ascii="Arial" w:hAnsi="Arial"/>
          <w:spacing w:val="-2"/>
          <w:sz w:val="19"/>
          <w:szCs w:val="19"/>
        </w:rPr>
        <w:t xml:space="preserve"> above</w:t>
      </w:r>
      <w:r w:rsidR="007E4204" w:rsidRPr="00F725C7">
        <w:rPr>
          <w:rFonts w:ascii="Arial" w:hAnsi="Arial"/>
          <w:spacing w:val="-2"/>
          <w:sz w:val="19"/>
          <w:szCs w:val="19"/>
        </w:rPr>
        <w:t>.</w:t>
      </w:r>
    </w:p>
    <w:p w14:paraId="76E04F4A" w14:textId="77777777" w:rsidR="00502E16" w:rsidRDefault="00502E16" w:rsidP="0086189B">
      <w:pPr>
        <w:spacing w:line="360" w:lineRule="auto"/>
        <w:jc w:val="thaiDistribute"/>
        <w:rPr>
          <w:rFonts w:ascii="Arial" w:hAnsi="Arial"/>
          <w:b/>
          <w:bCs/>
          <w:sz w:val="19"/>
          <w:szCs w:val="19"/>
        </w:rPr>
      </w:pPr>
    </w:p>
    <w:p w14:paraId="73D5310E" w14:textId="473946C6" w:rsidR="00EE2639" w:rsidRPr="00AF010A" w:rsidRDefault="00D818F1" w:rsidP="00AF010A">
      <w:pPr>
        <w:spacing w:line="360" w:lineRule="auto"/>
        <w:jc w:val="thaiDistribute"/>
        <w:rPr>
          <w:rFonts w:ascii="Arial" w:hAnsi="Arial" w:cs="Browallia New"/>
          <w:sz w:val="19"/>
          <w:szCs w:val="24"/>
        </w:rPr>
      </w:pPr>
      <w:r w:rsidRPr="00AF010A">
        <w:rPr>
          <w:rFonts w:ascii="Arial" w:hAnsi="Arial" w:cs="Browallia New"/>
          <w:sz w:val="19"/>
          <w:szCs w:val="24"/>
        </w:rPr>
        <w:t xml:space="preserve">These circumstances indicate material uncertainties that may cast significant doubt on the Group’s and the Company’s ability to continue as a going concern </w:t>
      </w:r>
      <w:r w:rsidR="00EE2639" w:rsidRPr="00AF010A">
        <w:rPr>
          <w:rFonts w:ascii="Arial" w:hAnsi="Arial" w:cs="Browallia New"/>
          <w:sz w:val="19"/>
          <w:szCs w:val="24"/>
        </w:rPr>
        <w:t xml:space="preserve">of the Group and the Company which may have significant effects on the value of significant assets and liabilities in the consolidated and separate financial </w:t>
      </w:r>
      <w:r w:rsidR="00113B5E" w:rsidRPr="00AF010A">
        <w:rPr>
          <w:rFonts w:ascii="Arial" w:hAnsi="Arial" w:cs="Browallia New"/>
          <w:sz w:val="19"/>
          <w:szCs w:val="24"/>
        </w:rPr>
        <w:t xml:space="preserve">information </w:t>
      </w:r>
      <w:r w:rsidR="00EE2639" w:rsidRPr="00AF010A">
        <w:rPr>
          <w:rFonts w:ascii="Arial" w:hAnsi="Arial" w:cs="Browallia New"/>
          <w:sz w:val="19"/>
          <w:szCs w:val="24"/>
        </w:rPr>
        <w:t xml:space="preserve">for the </w:t>
      </w:r>
      <w:r w:rsidR="001D75EA">
        <w:rPr>
          <w:rFonts w:ascii="Arial" w:hAnsi="Arial" w:cs="Browallia New"/>
          <w:sz w:val="19"/>
          <w:szCs w:val="24"/>
        </w:rPr>
        <w:t>three</w:t>
      </w:r>
      <w:r w:rsidR="00D34178">
        <w:rPr>
          <w:rFonts w:ascii="Arial" w:hAnsi="Arial" w:cs="Browallia New"/>
          <w:sz w:val="19"/>
          <w:szCs w:val="24"/>
        </w:rPr>
        <w:t>-</w:t>
      </w:r>
      <w:r w:rsidR="001D75EA">
        <w:rPr>
          <w:rFonts w:ascii="Arial" w:hAnsi="Arial" w:cs="Browallia New"/>
          <w:sz w:val="19"/>
          <w:szCs w:val="24"/>
        </w:rPr>
        <w:t>month</w:t>
      </w:r>
      <w:r w:rsidR="00D34178">
        <w:rPr>
          <w:rFonts w:ascii="Arial" w:hAnsi="Arial" w:cs="Browallia New"/>
          <w:sz w:val="19"/>
          <w:szCs w:val="24"/>
        </w:rPr>
        <w:t xml:space="preserve"> and nine-month </w:t>
      </w:r>
      <w:r w:rsidR="00EE2639" w:rsidRPr="00AF010A">
        <w:rPr>
          <w:rFonts w:ascii="Arial" w:hAnsi="Arial" w:cs="Browallia New"/>
          <w:sz w:val="19"/>
          <w:szCs w:val="24"/>
        </w:rPr>
        <w:t>period</w:t>
      </w:r>
      <w:r w:rsidR="00D34178">
        <w:rPr>
          <w:rFonts w:ascii="Arial" w:hAnsi="Arial" w:cs="Browallia New"/>
          <w:sz w:val="19"/>
          <w:szCs w:val="24"/>
        </w:rPr>
        <w:t>s</w:t>
      </w:r>
      <w:r w:rsidR="00EE2639" w:rsidRPr="00AF010A">
        <w:rPr>
          <w:rFonts w:ascii="Arial" w:hAnsi="Arial" w:cs="Browallia New"/>
          <w:sz w:val="19"/>
          <w:szCs w:val="24"/>
        </w:rPr>
        <w:t xml:space="preserve"> ended 30 September 2025. </w:t>
      </w:r>
    </w:p>
    <w:p w14:paraId="340A8FC9" w14:textId="77777777" w:rsidR="00EE2639" w:rsidRPr="00EE2639" w:rsidRDefault="00EE2639" w:rsidP="0086189B">
      <w:pPr>
        <w:spacing w:line="360" w:lineRule="auto"/>
        <w:jc w:val="thaiDistribute"/>
        <w:rPr>
          <w:rFonts w:ascii="Arial" w:hAnsi="Arial"/>
          <w:spacing w:val="-2"/>
          <w:sz w:val="19"/>
          <w:szCs w:val="19"/>
        </w:rPr>
      </w:pPr>
    </w:p>
    <w:p w14:paraId="630C8C5B" w14:textId="77777777" w:rsidR="001F6E15" w:rsidRDefault="001F6E15">
      <w:pPr>
        <w:rPr>
          <w:rFonts w:ascii="Arial" w:hAnsi="Arial" w:cs="Arial"/>
          <w:b/>
          <w:bCs/>
          <w:sz w:val="19"/>
          <w:szCs w:val="19"/>
          <w:lang w:val="en-GB" w:bidi="ar-SA"/>
        </w:rPr>
      </w:pPr>
      <w:r>
        <w:rPr>
          <w:rFonts w:ascii="Arial" w:hAnsi="Arial" w:cs="Arial"/>
          <w:b/>
          <w:bCs/>
          <w:sz w:val="19"/>
          <w:szCs w:val="19"/>
          <w:lang w:val="en-GB" w:bidi="ar-SA"/>
        </w:rPr>
        <w:br w:type="page"/>
      </w:r>
    </w:p>
    <w:p w14:paraId="7F55F767" w14:textId="78189B59" w:rsidR="00424834" w:rsidRPr="00424834" w:rsidRDefault="00424834" w:rsidP="00424834">
      <w:pPr>
        <w:spacing w:line="360" w:lineRule="auto"/>
        <w:jc w:val="thaiDistribute"/>
        <w:rPr>
          <w:rFonts w:ascii="Arial" w:hAnsi="Arial" w:cs="Arial"/>
          <w:b/>
          <w:bCs/>
          <w:sz w:val="19"/>
          <w:szCs w:val="19"/>
          <w:lang w:val="en-GB" w:bidi="ar-SA"/>
        </w:rPr>
      </w:pPr>
      <w:r w:rsidRPr="00424834">
        <w:rPr>
          <w:rFonts w:ascii="Arial" w:hAnsi="Arial" w:cs="Arial"/>
          <w:b/>
          <w:bCs/>
          <w:sz w:val="19"/>
          <w:szCs w:val="19"/>
          <w:lang w:val="en-GB" w:bidi="ar-SA"/>
        </w:rPr>
        <w:lastRenderedPageBreak/>
        <w:t>Disclaimer of Conclusion</w:t>
      </w:r>
    </w:p>
    <w:p w14:paraId="200139E8" w14:textId="77777777" w:rsidR="00424834" w:rsidRPr="00077365" w:rsidRDefault="00424834" w:rsidP="00424834">
      <w:pPr>
        <w:spacing w:line="360" w:lineRule="auto"/>
        <w:jc w:val="thaiDistribute"/>
        <w:rPr>
          <w:rFonts w:ascii="Arial" w:hAnsi="Arial" w:cs="Arial"/>
          <w:sz w:val="17"/>
          <w:szCs w:val="17"/>
          <w:lang w:val="en-GB" w:bidi="ar-SA"/>
        </w:rPr>
      </w:pPr>
    </w:p>
    <w:p w14:paraId="3DDBF840" w14:textId="5E45EB4F" w:rsidR="0086189B" w:rsidRPr="00424834" w:rsidRDefault="0024155E" w:rsidP="00C43221">
      <w:pPr>
        <w:spacing w:line="360" w:lineRule="auto"/>
        <w:jc w:val="both"/>
        <w:rPr>
          <w:rFonts w:ascii="Arial" w:hAnsi="Arial"/>
          <w:sz w:val="19"/>
          <w:szCs w:val="19"/>
          <w:lang w:val="en-GB"/>
        </w:rPr>
      </w:pPr>
      <w:r w:rsidRPr="0024155E">
        <w:rPr>
          <w:rFonts w:ascii="Arial" w:hAnsi="Arial" w:cs="Browallia New"/>
          <w:sz w:val="19"/>
          <w:szCs w:val="24"/>
        </w:rPr>
        <w:t xml:space="preserve">Because of the significance of the matters described in the Basis for disclaimer of conclusion section of my report to the </w:t>
      </w:r>
      <w:r w:rsidR="00A70022">
        <w:rPr>
          <w:rFonts w:ascii="Arial" w:hAnsi="Arial" w:cs="Browallia New"/>
          <w:sz w:val="19"/>
          <w:szCs w:val="24"/>
        </w:rPr>
        <w:t>interim</w:t>
      </w:r>
      <w:r w:rsidRPr="0024155E">
        <w:rPr>
          <w:rFonts w:ascii="Arial" w:hAnsi="Arial" w:cs="Browallia New"/>
          <w:sz w:val="19"/>
          <w:szCs w:val="24"/>
        </w:rPr>
        <w:t xml:space="preserve"> consolidated financial information of TTCL Public Company Limited and its subsidiaries (the Group) and the interim separate financial information of TTCL Public Company Limited, respectively , as at 30 September 2025 and for the three-month and nine-month periods then ended, and due to the multiple uncertainties involved, it is not possible to form a conclusion on the financial information due to the potential interaction of the uncertainties and their possible cumulative effect on the financial information, I do not express a conclusion on the interim financial information referred to above.</w:t>
      </w:r>
    </w:p>
    <w:p w14:paraId="57A47E5E" w14:textId="77777777" w:rsidR="00117936" w:rsidRDefault="00117936" w:rsidP="00C43221">
      <w:pPr>
        <w:spacing w:line="360" w:lineRule="auto"/>
        <w:jc w:val="both"/>
        <w:rPr>
          <w:rFonts w:ascii="Arial" w:hAnsi="Arial"/>
          <w:sz w:val="19"/>
          <w:szCs w:val="19"/>
        </w:rPr>
      </w:pPr>
    </w:p>
    <w:p w14:paraId="4BC36B8E" w14:textId="77777777" w:rsidR="00CC04E0" w:rsidRDefault="00CC04E0" w:rsidP="00006E26">
      <w:pPr>
        <w:pStyle w:val="BodyText"/>
        <w:spacing w:line="360" w:lineRule="auto"/>
        <w:jc w:val="thaiDistribute"/>
        <w:rPr>
          <w:rFonts w:ascii="Arial" w:hAnsi="Arial" w:cstheme="minorBidi"/>
          <w:sz w:val="19"/>
          <w:szCs w:val="24"/>
          <w:lang w:val="en-GB"/>
        </w:rPr>
      </w:pPr>
    </w:p>
    <w:p w14:paraId="5F44E1D1" w14:textId="77777777" w:rsidR="00BA388C" w:rsidRDefault="00BA388C" w:rsidP="00006E26">
      <w:pPr>
        <w:pStyle w:val="BodyText"/>
        <w:spacing w:line="360" w:lineRule="auto"/>
        <w:jc w:val="thaiDistribute"/>
        <w:rPr>
          <w:rFonts w:ascii="Arial" w:hAnsi="Arial" w:cstheme="minorBidi"/>
          <w:sz w:val="19"/>
          <w:szCs w:val="24"/>
          <w:lang w:val="en-GB"/>
        </w:rPr>
      </w:pPr>
    </w:p>
    <w:p w14:paraId="139AA166" w14:textId="77777777" w:rsidR="00BA388C" w:rsidRPr="00A70022" w:rsidRDefault="00BA388C" w:rsidP="00006E26">
      <w:pPr>
        <w:pStyle w:val="BodyText"/>
        <w:spacing w:line="360" w:lineRule="auto"/>
        <w:jc w:val="thaiDistribute"/>
        <w:rPr>
          <w:rFonts w:ascii="Arial" w:hAnsi="Arial" w:cstheme="minorBidi"/>
          <w:sz w:val="19"/>
          <w:szCs w:val="24"/>
          <w:lang w:val="en-GB"/>
        </w:rPr>
      </w:pPr>
    </w:p>
    <w:p w14:paraId="3287DF45" w14:textId="77777777" w:rsidR="00BD34D6" w:rsidRPr="00E717F7" w:rsidRDefault="00BD34D6" w:rsidP="00BD34D6">
      <w:pPr>
        <w:pStyle w:val="BodyText"/>
        <w:spacing w:line="360" w:lineRule="auto"/>
        <w:rPr>
          <w:rFonts w:ascii="Arial" w:hAnsi="Arial"/>
          <w:b/>
          <w:bCs/>
          <w:sz w:val="19"/>
          <w:szCs w:val="19"/>
        </w:rPr>
      </w:pPr>
      <w:r w:rsidRPr="003F27BC">
        <w:rPr>
          <w:rFonts w:ascii="Arial" w:hAnsi="Arial"/>
          <w:b/>
          <w:bCs/>
          <w:sz w:val="19"/>
          <w:szCs w:val="19"/>
        </w:rPr>
        <w:t>Luxsamee Deetrakulwattanapol</w:t>
      </w:r>
    </w:p>
    <w:p w14:paraId="218D339C" w14:textId="77777777" w:rsidR="00BD34D6" w:rsidRPr="00E717F7" w:rsidRDefault="00BD34D6" w:rsidP="00BD34D6">
      <w:pPr>
        <w:pStyle w:val="BodyText"/>
        <w:spacing w:line="360" w:lineRule="auto"/>
        <w:rPr>
          <w:rFonts w:ascii="Arial" w:hAnsi="Arial"/>
          <w:sz w:val="19"/>
          <w:szCs w:val="19"/>
        </w:rPr>
      </w:pPr>
      <w:r w:rsidRPr="00E717F7">
        <w:rPr>
          <w:rFonts w:ascii="Arial" w:hAnsi="Arial"/>
          <w:sz w:val="19"/>
          <w:szCs w:val="19"/>
        </w:rPr>
        <w:t>Certified Public Accountant</w:t>
      </w:r>
    </w:p>
    <w:p w14:paraId="41019D78" w14:textId="77777777" w:rsidR="00BD34D6" w:rsidRPr="00E717F7" w:rsidRDefault="00BD34D6" w:rsidP="00BD34D6">
      <w:pPr>
        <w:pStyle w:val="BodyText"/>
        <w:spacing w:line="360" w:lineRule="auto"/>
        <w:rPr>
          <w:rFonts w:ascii="Arial" w:hAnsi="Arial"/>
          <w:sz w:val="19"/>
          <w:szCs w:val="19"/>
        </w:rPr>
      </w:pPr>
      <w:r w:rsidRPr="00E717F7">
        <w:rPr>
          <w:rFonts w:ascii="Arial" w:hAnsi="Arial"/>
          <w:sz w:val="19"/>
          <w:szCs w:val="19"/>
        </w:rPr>
        <w:t xml:space="preserve">Registration No. </w:t>
      </w:r>
      <w:r>
        <w:rPr>
          <w:rFonts w:ascii="Arial" w:hAnsi="Arial"/>
          <w:sz w:val="19"/>
          <w:szCs w:val="19"/>
        </w:rPr>
        <w:t>9056</w:t>
      </w:r>
    </w:p>
    <w:p w14:paraId="7602EE77" w14:textId="77777777" w:rsidR="00BD34D6" w:rsidRPr="00E717F7" w:rsidRDefault="00BD34D6" w:rsidP="00BD34D6">
      <w:pPr>
        <w:pStyle w:val="BodyText"/>
        <w:spacing w:line="360" w:lineRule="auto"/>
        <w:rPr>
          <w:rFonts w:ascii="Arial" w:hAnsi="Arial"/>
          <w:sz w:val="19"/>
          <w:szCs w:val="19"/>
        </w:rPr>
      </w:pPr>
    </w:p>
    <w:p w14:paraId="69833E51" w14:textId="77777777" w:rsidR="00BD34D6" w:rsidRPr="00E717F7" w:rsidRDefault="00BD34D6" w:rsidP="00BD34D6">
      <w:pPr>
        <w:pStyle w:val="BodyText"/>
        <w:spacing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BD34D6">
      <w:pPr>
        <w:pStyle w:val="BodyText"/>
        <w:spacing w:line="360" w:lineRule="auto"/>
        <w:rPr>
          <w:rFonts w:ascii="Arial" w:hAnsi="Arial"/>
          <w:sz w:val="19"/>
          <w:szCs w:val="19"/>
        </w:rPr>
      </w:pPr>
      <w:r w:rsidRPr="00E717F7">
        <w:rPr>
          <w:rFonts w:ascii="Arial" w:hAnsi="Arial"/>
          <w:sz w:val="19"/>
          <w:szCs w:val="19"/>
        </w:rPr>
        <w:t>Bangkok</w:t>
      </w:r>
    </w:p>
    <w:p w14:paraId="5EE5BB16" w14:textId="2B043F04" w:rsidR="00D15EA5" w:rsidRPr="00347050" w:rsidRDefault="00EC329A" w:rsidP="00BD34D6">
      <w:pPr>
        <w:pStyle w:val="BodyText"/>
        <w:rPr>
          <w:sz w:val="19"/>
          <w:szCs w:val="19"/>
          <w:u w:val="single"/>
        </w:rPr>
      </w:pPr>
      <w:r w:rsidRPr="00F9407C">
        <w:rPr>
          <w:rFonts w:ascii="Arial" w:hAnsi="Arial"/>
          <w:sz w:val="19"/>
          <w:szCs w:val="19"/>
        </w:rPr>
        <w:t>14</w:t>
      </w:r>
      <w:r w:rsidR="00405198" w:rsidRPr="00F9407C">
        <w:rPr>
          <w:rFonts w:ascii="Arial" w:hAnsi="Arial"/>
          <w:sz w:val="19"/>
          <w:szCs w:val="19"/>
        </w:rPr>
        <w:t xml:space="preserve"> November</w:t>
      </w:r>
      <w:r w:rsidR="00BD34D6" w:rsidRPr="00F9407C">
        <w:rPr>
          <w:rFonts w:ascii="Arial" w:hAnsi="Arial" w:cs="Browallia New"/>
          <w:sz w:val="19"/>
          <w:szCs w:val="24"/>
        </w:rPr>
        <w:t xml:space="preserve"> 2025</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75BB9" w14:textId="77777777" w:rsidR="000B762A" w:rsidRDefault="000B762A">
      <w:r>
        <w:separator/>
      </w:r>
    </w:p>
  </w:endnote>
  <w:endnote w:type="continuationSeparator" w:id="0">
    <w:p w14:paraId="0EB10E64" w14:textId="77777777" w:rsidR="000B762A" w:rsidRDefault="000B762A">
      <w:r>
        <w:continuationSeparator/>
      </w:r>
    </w:p>
  </w:endnote>
  <w:endnote w:type="continuationNotice" w:id="1">
    <w:p w14:paraId="44D8A720" w14:textId="77777777" w:rsidR="000B762A" w:rsidRDefault="000B7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A4268" w14:textId="77777777" w:rsidR="000B762A" w:rsidRDefault="000B762A">
      <w:bookmarkStart w:id="0" w:name="_Hlk482348182"/>
      <w:bookmarkEnd w:id="0"/>
      <w:r>
        <w:separator/>
      </w:r>
    </w:p>
  </w:footnote>
  <w:footnote w:type="continuationSeparator" w:id="0">
    <w:p w14:paraId="16B01220" w14:textId="77777777" w:rsidR="000B762A" w:rsidRDefault="000B762A">
      <w:r>
        <w:continuationSeparator/>
      </w:r>
    </w:p>
  </w:footnote>
  <w:footnote w:type="continuationNotice" w:id="1">
    <w:p w14:paraId="46BC65DF" w14:textId="77777777" w:rsidR="000B762A" w:rsidRDefault="000B76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227352AE"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45CB61EB" w14:textId="69C83200" w:rsidR="00964AB7" w:rsidRDefault="0007420C" w:rsidP="00551365">
    <w:pPr>
      <w:pStyle w:val="Header"/>
      <w:tabs>
        <w:tab w:val="clear" w:pos="8562"/>
        <w:tab w:val="left" w:pos="5328"/>
      </w:tabs>
      <w:spacing w:line="360" w:lineRule="auto"/>
      <w:rPr>
        <w:rFonts w:cs="Browallia New"/>
        <w:color w:val="auto"/>
        <w:sz w:val="24"/>
        <w:szCs w:val="24"/>
        <w:lang w:val="en-US" w:bidi="th-TH"/>
      </w:rPr>
    </w:pPr>
    <w:r w:rsidRPr="00551365">
      <w:rPr>
        <w:rFonts w:cs="Browallia New"/>
        <w:color w:val="auto"/>
        <w:sz w:val="24"/>
        <w:szCs w:val="24"/>
        <w:lang w:val="en-US" w:bidi="th-TH"/>
      </w:rPr>
      <w:t xml:space="preserve">AUDITOR’S REPORT ON REVIEW OF </w:t>
    </w:r>
  </w:p>
  <w:p w14:paraId="2CDF52D1" w14:textId="26785D6C" w:rsidR="0007420C" w:rsidRPr="006932D7" w:rsidRDefault="0013485A" w:rsidP="00551365">
    <w:pPr>
      <w:pStyle w:val="Header"/>
      <w:tabs>
        <w:tab w:val="clear" w:pos="8562"/>
        <w:tab w:val="left" w:pos="5328"/>
      </w:tabs>
      <w:spacing w:line="360" w:lineRule="auto"/>
      <w:rPr>
        <w:rFonts w:cs="Browallia New"/>
        <w:color w:val="4F2D7F"/>
        <w:sz w:val="32"/>
        <w:szCs w:val="32"/>
        <w:lang w:val="en-US" w:bidi="th-TH"/>
      </w:rPr>
    </w:pPr>
    <w:r>
      <w:rPr>
        <w:rFonts w:cs="Browallia New"/>
        <w:color w:val="auto"/>
        <w:sz w:val="24"/>
        <w:szCs w:val="24"/>
        <w:lang w:val="en-US" w:bidi="th-TH"/>
      </w:rPr>
      <w:t xml:space="preserve">THE </w:t>
    </w:r>
    <w:r w:rsidR="0007420C" w:rsidRPr="00551365">
      <w:rPr>
        <w:rFonts w:cs="Browallia New"/>
        <w:color w:val="auto"/>
        <w:sz w:val="24"/>
        <w:szCs w:val="24"/>
        <w:lang w:val="en-US" w:bidi="th-TH"/>
      </w:rPr>
      <w:t>INTERIM</w:t>
    </w:r>
    <w:r w:rsidR="0007420C" w:rsidRPr="00551365">
      <w:rPr>
        <w:rFonts w:cs="Browallia New"/>
        <w:color w:val="auto"/>
        <w:sz w:val="28"/>
        <w:szCs w:val="28"/>
        <w:lang w:val="en-US" w:bidi="th-TH"/>
      </w:rPr>
      <w:t xml:space="preserve"> </w:t>
    </w:r>
    <w:r w:rsidR="0007420C"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3" w:name="Footer3_tbl"/>
    <w:bookmarkEnd w:id="3"/>
  </w:p>
  <w:p w14:paraId="4E48D69A" w14:textId="372EF306"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16474DD"/>
    <w:multiLevelType w:val="hybridMultilevel"/>
    <w:tmpl w:val="8F44C7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7"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8" w15:restartNumberingAfterBreak="0">
    <w:nsid w:val="1A933704"/>
    <w:multiLevelType w:val="multilevel"/>
    <w:tmpl w:val="8460F8B0"/>
    <w:numStyleLink w:val="GTTableBullets"/>
  </w:abstractNum>
  <w:abstractNum w:abstractNumId="9"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10" w15:restartNumberingAfterBreak="0">
    <w:nsid w:val="235B21F8"/>
    <w:multiLevelType w:val="multilevel"/>
    <w:tmpl w:val="FAE6F968"/>
    <w:numStyleLink w:val="GTListBullet"/>
  </w:abstractNum>
  <w:abstractNum w:abstractNumId="11"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35C91C25"/>
    <w:multiLevelType w:val="multilevel"/>
    <w:tmpl w:val="98FC98AC"/>
    <w:numStyleLink w:val="GTListNumber"/>
  </w:abstractNum>
  <w:abstractNum w:abstractNumId="13" w15:restartNumberingAfterBreak="0">
    <w:nsid w:val="3BA976CF"/>
    <w:multiLevelType w:val="multilevel"/>
    <w:tmpl w:val="98FC98AC"/>
    <w:numStyleLink w:val="GTListNumber"/>
  </w:abstractNum>
  <w:abstractNum w:abstractNumId="14" w15:restartNumberingAfterBreak="0">
    <w:nsid w:val="4081680D"/>
    <w:multiLevelType w:val="hybridMultilevel"/>
    <w:tmpl w:val="E41815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1562841"/>
    <w:multiLevelType w:val="hybridMultilevel"/>
    <w:tmpl w:val="FE468E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7" w15:restartNumberingAfterBreak="0">
    <w:nsid w:val="5DDB5E6E"/>
    <w:multiLevelType w:val="multilevel"/>
    <w:tmpl w:val="FAE6F968"/>
    <w:numStyleLink w:val="GTListBullet"/>
  </w:abstractNum>
  <w:abstractNum w:abstractNumId="18"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6B764F73"/>
    <w:multiLevelType w:val="hybridMultilevel"/>
    <w:tmpl w:val="4ACC0C6C"/>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7"/>
  </w:num>
  <w:num w:numId="6" w16cid:durableId="733092281">
    <w:abstractNumId w:val="6"/>
  </w:num>
  <w:num w:numId="7" w16cid:durableId="1176071970">
    <w:abstractNumId w:val="11"/>
  </w:num>
  <w:num w:numId="8" w16cid:durableId="292829325">
    <w:abstractNumId w:val="21"/>
  </w:num>
  <w:num w:numId="9" w16cid:durableId="1645889549">
    <w:abstractNumId w:val="6"/>
  </w:num>
  <w:num w:numId="10" w16cid:durableId="1193954868">
    <w:abstractNumId w:val="18"/>
  </w:num>
  <w:num w:numId="11" w16cid:durableId="1466504235">
    <w:abstractNumId w:val="16"/>
  </w:num>
  <w:num w:numId="12" w16cid:durableId="148064295">
    <w:abstractNumId w:val="4"/>
  </w:num>
  <w:num w:numId="13" w16cid:durableId="1524710543">
    <w:abstractNumId w:val="9"/>
  </w:num>
  <w:num w:numId="14" w16cid:durableId="904536237">
    <w:abstractNumId w:val="8"/>
  </w:num>
  <w:num w:numId="15" w16cid:durableId="368459406">
    <w:abstractNumId w:val="9"/>
  </w:num>
  <w:num w:numId="16" w16cid:durableId="752513992">
    <w:abstractNumId w:val="10"/>
  </w:num>
  <w:num w:numId="17" w16cid:durableId="1760056103">
    <w:abstractNumId w:val="12"/>
  </w:num>
  <w:num w:numId="18" w16cid:durableId="365982605">
    <w:abstractNumId w:val="18"/>
  </w:num>
  <w:num w:numId="19" w16cid:durableId="913930824">
    <w:abstractNumId w:val="16"/>
  </w:num>
  <w:num w:numId="20" w16cid:durableId="1911502800">
    <w:abstractNumId w:val="4"/>
  </w:num>
  <w:num w:numId="21" w16cid:durableId="55249001">
    <w:abstractNumId w:val="9"/>
  </w:num>
  <w:num w:numId="22" w16cid:durableId="2019959108">
    <w:abstractNumId w:val="8"/>
  </w:num>
  <w:num w:numId="23" w16cid:durableId="1811626073">
    <w:abstractNumId w:val="8"/>
  </w:num>
  <w:num w:numId="24" w16cid:durableId="1643533604">
    <w:abstractNumId w:val="8"/>
  </w:num>
  <w:num w:numId="25" w16cid:durableId="1901134908">
    <w:abstractNumId w:val="9"/>
  </w:num>
  <w:num w:numId="26" w16cid:durableId="1761751142">
    <w:abstractNumId w:val="9"/>
  </w:num>
  <w:num w:numId="27" w16cid:durableId="1972397303">
    <w:abstractNumId w:val="9"/>
  </w:num>
  <w:num w:numId="28" w16cid:durableId="1306542512">
    <w:abstractNumId w:val="17"/>
  </w:num>
  <w:num w:numId="29" w16cid:durableId="94981225">
    <w:abstractNumId w:val="17"/>
  </w:num>
  <w:num w:numId="30" w16cid:durableId="650715411">
    <w:abstractNumId w:val="17"/>
  </w:num>
  <w:num w:numId="31" w16cid:durableId="281807592">
    <w:abstractNumId w:val="13"/>
  </w:num>
  <w:num w:numId="32" w16cid:durableId="356078150">
    <w:abstractNumId w:val="13"/>
  </w:num>
  <w:num w:numId="33" w16cid:durableId="1963269185">
    <w:abstractNumId w:val="13"/>
  </w:num>
  <w:num w:numId="34" w16cid:durableId="57093226">
    <w:abstractNumId w:val="20"/>
  </w:num>
  <w:num w:numId="35" w16cid:durableId="1929268801">
    <w:abstractNumId w:val="19"/>
  </w:num>
  <w:num w:numId="36" w16cid:durableId="851719709">
    <w:abstractNumId w:val="5"/>
  </w:num>
  <w:num w:numId="37" w16cid:durableId="4868703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465225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541"/>
    <w:rsid w:val="000013F1"/>
    <w:rsid w:val="00004B8D"/>
    <w:rsid w:val="00006BDE"/>
    <w:rsid w:val="00006E26"/>
    <w:rsid w:val="00006EB1"/>
    <w:rsid w:val="0001415A"/>
    <w:rsid w:val="000162B0"/>
    <w:rsid w:val="0002363E"/>
    <w:rsid w:val="000276B6"/>
    <w:rsid w:val="00027DE7"/>
    <w:rsid w:val="0003023B"/>
    <w:rsid w:val="00031D17"/>
    <w:rsid w:val="00031D78"/>
    <w:rsid w:val="00034D1E"/>
    <w:rsid w:val="00043824"/>
    <w:rsid w:val="00044ACE"/>
    <w:rsid w:val="0004550E"/>
    <w:rsid w:val="0004656D"/>
    <w:rsid w:val="00052614"/>
    <w:rsid w:val="000561AB"/>
    <w:rsid w:val="000561C7"/>
    <w:rsid w:val="00057CB4"/>
    <w:rsid w:val="000605E9"/>
    <w:rsid w:val="0006313A"/>
    <w:rsid w:val="000723F7"/>
    <w:rsid w:val="0007420C"/>
    <w:rsid w:val="00074485"/>
    <w:rsid w:val="00075F07"/>
    <w:rsid w:val="00077365"/>
    <w:rsid w:val="000828F1"/>
    <w:rsid w:val="00082F59"/>
    <w:rsid w:val="00083D06"/>
    <w:rsid w:val="00084077"/>
    <w:rsid w:val="00094333"/>
    <w:rsid w:val="00096C93"/>
    <w:rsid w:val="000971CA"/>
    <w:rsid w:val="00097FAB"/>
    <w:rsid w:val="000A059C"/>
    <w:rsid w:val="000A293D"/>
    <w:rsid w:val="000A6546"/>
    <w:rsid w:val="000B1891"/>
    <w:rsid w:val="000B65E3"/>
    <w:rsid w:val="000B6A73"/>
    <w:rsid w:val="000B7090"/>
    <w:rsid w:val="000B762A"/>
    <w:rsid w:val="000C1177"/>
    <w:rsid w:val="000C3A21"/>
    <w:rsid w:val="000C62FE"/>
    <w:rsid w:val="000E0685"/>
    <w:rsid w:val="000E52CE"/>
    <w:rsid w:val="000E6680"/>
    <w:rsid w:val="000E6937"/>
    <w:rsid w:val="000F1AF8"/>
    <w:rsid w:val="000F3AAB"/>
    <w:rsid w:val="000F6D75"/>
    <w:rsid w:val="000F6E25"/>
    <w:rsid w:val="001011DF"/>
    <w:rsid w:val="00102571"/>
    <w:rsid w:val="001075BE"/>
    <w:rsid w:val="00107704"/>
    <w:rsid w:val="00112B69"/>
    <w:rsid w:val="00113B5E"/>
    <w:rsid w:val="001151DF"/>
    <w:rsid w:val="00117936"/>
    <w:rsid w:val="001179AA"/>
    <w:rsid w:val="00125CC9"/>
    <w:rsid w:val="00126746"/>
    <w:rsid w:val="001316D3"/>
    <w:rsid w:val="001342C7"/>
    <w:rsid w:val="0013485A"/>
    <w:rsid w:val="00136F58"/>
    <w:rsid w:val="00137D45"/>
    <w:rsid w:val="001421C2"/>
    <w:rsid w:val="001422CE"/>
    <w:rsid w:val="00145877"/>
    <w:rsid w:val="00145FB7"/>
    <w:rsid w:val="00154285"/>
    <w:rsid w:val="00154C01"/>
    <w:rsid w:val="001554CD"/>
    <w:rsid w:val="00155A91"/>
    <w:rsid w:val="001613E2"/>
    <w:rsid w:val="0016459D"/>
    <w:rsid w:val="00166209"/>
    <w:rsid w:val="00167017"/>
    <w:rsid w:val="00167C5F"/>
    <w:rsid w:val="001808B5"/>
    <w:rsid w:val="00182F07"/>
    <w:rsid w:val="00183AEE"/>
    <w:rsid w:val="0018585A"/>
    <w:rsid w:val="00185A7F"/>
    <w:rsid w:val="0019210D"/>
    <w:rsid w:val="00196567"/>
    <w:rsid w:val="001967C7"/>
    <w:rsid w:val="00196A9D"/>
    <w:rsid w:val="001A3BFB"/>
    <w:rsid w:val="001A3C20"/>
    <w:rsid w:val="001A4FC8"/>
    <w:rsid w:val="001A5987"/>
    <w:rsid w:val="001A741C"/>
    <w:rsid w:val="001B198C"/>
    <w:rsid w:val="001B2973"/>
    <w:rsid w:val="001B6702"/>
    <w:rsid w:val="001B7388"/>
    <w:rsid w:val="001C1E80"/>
    <w:rsid w:val="001D09C6"/>
    <w:rsid w:val="001D209D"/>
    <w:rsid w:val="001D2302"/>
    <w:rsid w:val="001D3629"/>
    <w:rsid w:val="001D75EA"/>
    <w:rsid w:val="001D77FD"/>
    <w:rsid w:val="001D7BB3"/>
    <w:rsid w:val="001E12A6"/>
    <w:rsid w:val="001E1E3A"/>
    <w:rsid w:val="001E498F"/>
    <w:rsid w:val="001F502E"/>
    <w:rsid w:val="001F62E9"/>
    <w:rsid w:val="001F6E15"/>
    <w:rsid w:val="001F7290"/>
    <w:rsid w:val="001F772B"/>
    <w:rsid w:val="00202090"/>
    <w:rsid w:val="00214A0C"/>
    <w:rsid w:val="002164B9"/>
    <w:rsid w:val="0022163F"/>
    <w:rsid w:val="00223864"/>
    <w:rsid w:val="0022452B"/>
    <w:rsid w:val="0022518C"/>
    <w:rsid w:val="00226123"/>
    <w:rsid w:val="002368AA"/>
    <w:rsid w:val="002377D0"/>
    <w:rsid w:val="00237A7E"/>
    <w:rsid w:val="00240E11"/>
    <w:rsid w:val="0024155E"/>
    <w:rsid w:val="00241F16"/>
    <w:rsid w:val="00247969"/>
    <w:rsid w:val="002515BC"/>
    <w:rsid w:val="00252803"/>
    <w:rsid w:val="00254788"/>
    <w:rsid w:val="0026182A"/>
    <w:rsid w:val="00265555"/>
    <w:rsid w:val="00271186"/>
    <w:rsid w:val="0027391E"/>
    <w:rsid w:val="002749F4"/>
    <w:rsid w:val="00276C62"/>
    <w:rsid w:val="00277EBE"/>
    <w:rsid w:val="002800FD"/>
    <w:rsid w:val="00281B00"/>
    <w:rsid w:val="0028257C"/>
    <w:rsid w:val="002827CF"/>
    <w:rsid w:val="002838FB"/>
    <w:rsid w:val="00285249"/>
    <w:rsid w:val="002915ED"/>
    <w:rsid w:val="002939D2"/>
    <w:rsid w:val="00294C0A"/>
    <w:rsid w:val="00295892"/>
    <w:rsid w:val="002A16D0"/>
    <w:rsid w:val="002A23F2"/>
    <w:rsid w:val="002A252E"/>
    <w:rsid w:val="002A347B"/>
    <w:rsid w:val="002A7803"/>
    <w:rsid w:val="002B0C5C"/>
    <w:rsid w:val="002B17D0"/>
    <w:rsid w:val="002B1DE3"/>
    <w:rsid w:val="002B6F5B"/>
    <w:rsid w:val="002C623D"/>
    <w:rsid w:val="002C6AF1"/>
    <w:rsid w:val="002D3477"/>
    <w:rsid w:val="002D4F10"/>
    <w:rsid w:val="002D5A0F"/>
    <w:rsid w:val="002D6E25"/>
    <w:rsid w:val="002E02F4"/>
    <w:rsid w:val="002E71E2"/>
    <w:rsid w:val="002E7F1E"/>
    <w:rsid w:val="002F05A3"/>
    <w:rsid w:val="002F148D"/>
    <w:rsid w:val="002F1585"/>
    <w:rsid w:val="002F2839"/>
    <w:rsid w:val="002F2DEB"/>
    <w:rsid w:val="002F3903"/>
    <w:rsid w:val="002F4A52"/>
    <w:rsid w:val="002F6D2C"/>
    <w:rsid w:val="002F7336"/>
    <w:rsid w:val="002F7D90"/>
    <w:rsid w:val="0030026A"/>
    <w:rsid w:val="003017EF"/>
    <w:rsid w:val="00305173"/>
    <w:rsid w:val="00313B74"/>
    <w:rsid w:val="00314BD2"/>
    <w:rsid w:val="00321A76"/>
    <w:rsid w:val="00323425"/>
    <w:rsid w:val="0032475E"/>
    <w:rsid w:val="0032704C"/>
    <w:rsid w:val="0032758F"/>
    <w:rsid w:val="00327B79"/>
    <w:rsid w:val="00327E2F"/>
    <w:rsid w:val="003318EA"/>
    <w:rsid w:val="003322E7"/>
    <w:rsid w:val="00334AFD"/>
    <w:rsid w:val="00335E5B"/>
    <w:rsid w:val="00336E39"/>
    <w:rsid w:val="00342038"/>
    <w:rsid w:val="003425EA"/>
    <w:rsid w:val="00344559"/>
    <w:rsid w:val="003451E3"/>
    <w:rsid w:val="00347050"/>
    <w:rsid w:val="00354F5D"/>
    <w:rsid w:val="00356CD0"/>
    <w:rsid w:val="0035718A"/>
    <w:rsid w:val="00361AB5"/>
    <w:rsid w:val="00361B09"/>
    <w:rsid w:val="00365ECE"/>
    <w:rsid w:val="0037289D"/>
    <w:rsid w:val="00373005"/>
    <w:rsid w:val="003744DA"/>
    <w:rsid w:val="003770B9"/>
    <w:rsid w:val="0038141D"/>
    <w:rsid w:val="00382E18"/>
    <w:rsid w:val="00384904"/>
    <w:rsid w:val="00387A52"/>
    <w:rsid w:val="0039010D"/>
    <w:rsid w:val="0039225C"/>
    <w:rsid w:val="00396DFE"/>
    <w:rsid w:val="003978B3"/>
    <w:rsid w:val="003A31B7"/>
    <w:rsid w:val="003A7159"/>
    <w:rsid w:val="003B20AD"/>
    <w:rsid w:val="003B4CCD"/>
    <w:rsid w:val="003B4DED"/>
    <w:rsid w:val="003C12C5"/>
    <w:rsid w:val="003C27EF"/>
    <w:rsid w:val="003C32E9"/>
    <w:rsid w:val="003C3898"/>
    <w:rsid w:val="003C6EB2"/>
    <w:rsid w:val="003C7596"/>
    <w:rsid w:val="003C7E88"/>
    <w:rsid w:val="003D2605"/>
    <w:rsid w:val="003D33AB"/>
    <w:rsid w:val="003D5F87"/>
    <w:rsid w:val="003D61E9"/>
    <w:rsid w:val="003D64D6"/>
    <w:rsid w:val="003E034A"/>
    <w:rsid w:val="003E3E21"/>
    <w:rsid w:val="003F40BE"/>
    <w:rsid w:val="003F604F"/>
    <w:rsid w:val="003F7C45"/>
    <w:rsid w:val="004008AF"/>
    <w:rsid w:val="00404CD9"/>
    <w:rsid w:val="00405198"/>
    <w:rsid w:val="00407E4C"/>
    <w:rsid w:val="00416281"/>
    <w:rsid w:val="00416871"/>
    <w:rsid w:val="00417FB6"/>
    <w:rsid w:val="00422353"/>
    <w:rsid w:val="00424834"/>
    <w:rsid w:val="00425B0D"/>
    <w:rsid w:val="00426915"/>
    <w:rsid w:val="004338E2"/>
    <w:rsid w:val="00433F63"/>
    <w:rsid w:val="00435788"/>
    <w:rsid w:val="004359E6"/>
    <w:rsid w:val="00437D56"/>
    <w:rsid w:val="004400DB"/>
    <w:rsid w:val="00443CE3"/>
    <w:rsid w:val="00447116"/>
    <w:rsid w:val="00452429"/>
    <w:rsid w:val="00452E7B"/>
    <w:rsid w:val="004539C4"/>
    <w:rsid w:val="004546FA"/>
    <w:rsid w:val="00462C4A"/>
    <w:rsid w:val="0046674D"/>
    <w:rsid w:val="00473CF6"/>
    <w:rsid w:val="004745F6"/>
    <w:rsid w:val="00476A47"/>
    <w:rsid w:val="00481FE7"/>
    <w:rsid w:val="0048347F"/>
    <w:rsid w:val="00483D74"/>
    <w:rsid w:val="0048532C"/>
    <w:rsid w:val="00485E85"/>
    <w:rsid w:val="004864CF"/>
    <w:rsid w:val="0049103F"/>
    <w:rsid w:val="004929AE"/>
    <w:rsid w:val="00493A2C"/>
    <w:rsid w:val="004A0DFE"/>
    <w:rsid w:val="004A3C62"/>
    <w:rsid w:val="004A5228"/>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F1A16"/>
    <w:rsid w:val="004F207F"/>
    <w:rsid w:val="004F2FD2"/>
    <w:rsid w:val="004F334E"/>
    <w:rsid w:val="004F5D91"/>
    <w:rsid w:val="004F77C6"/>
    <w:rsid w:val="00502E16"/>
    <w:rsid w:val="005070FA"/>
    <w:rsid w:val="0051511F"/>
    <w:rsid w:val="005152D7"/>
    <w:rsid w:val="0051574B"/>
    <w:rsid w:val="0052186A"/>
    <w:rsid w:val="0053166E"/>
    <w:rsid w:val="005321DA"/>
    <w:rsid w:val="00535092"/>
    <w:rsid w:val="00542E2A"/>
    <w:rsid w:val="005451B2"/>
    <w:rsid w:val="00546AD0"/>
    <w:rsid w:val="00546F9A"/>
    <w:rsid w:val="00547541"/>
    <w:rsid w:val="00551365"/>
    <w:rsid w:val="00551D42"/>
    <w:rsid w:val="005520AB"/>
    <w:rsid w:val="005537B8"/>
    <w:rsid w:val="00553C24"/>
    <w:rsid w:val="00556ED1"/>
    <w:rsid w:val="005613C9"/>
    <w:rsid w:val="00561EFE"/>
    <w:rsid w:val="005627FF"/>
    <w:rsid w:val="005655CC"/>
    <w:rsid w:val="0057314C"/>
    <w:rsid w:val="005760E1"/>
    <w:rsid w:val="00577D61"/>
    <w:rsid w:val="00581102"/>
    <w:rsid w:val="0058148A"/>
    <w:rsid w:val="005822AC"/>
    <w:rsid w:val="005844C7"/>
    <w:rsid w:val="005864AE"/>
    <w:rsid w:val="00590952"/>
    <w:rsid w:val="00597FD6"/>
    <w:rsid w:val="005A66D8"/>
    <w:rsid w:val="005A7AB9"/>
    <w:rsid w:val="005B405A"/>
    <w:rsid w:val="005B47F1"/>
    <w:rsid w:val="005B61A8"/>
    <w:rsid w:val="005B73D0"/>
    <w:rsid w:val="005C2CCB"/>
    <w:rsid w:val="005C2F97"/>
    <w:rsid w:val="005C6479"/>
    <w:rsid w:val="005C69FD"/>
    <w:rsid w:val="005D1096"/>
    <w:rsid w:val="005D45A3"/>
    <w:rsid w:val="005D4935"/>
    <w:rsid w:val="005D59BB"/>
    <w:rsid w:val="005D7025"/>
    <w:rsid w:val="005E2D67"/>
    <w:rsid w:val="005E5578"/>
    <w:rsid w:val="005E5818"/>
    <w:rsid w:val="005E690E"/>
    <w:rsid w:val="005E7AC2"/>
    <w:rsid w:val="005F4D62"/>
    <w:rsid w:val="00601989"/>
    <w:rsid w:val="006028CD"/>
    <w:rsid w:val="00605258"/>
    <w:rsid w:val="006073A2"/>
    <w:rsid w:val="00610ED7"/>
    <w:rsid w:val="00610F6D"/>
    <w:rsid w:val="006130A9"/>
    <w:rsid w:val="0061395E"/>
    <w:rsid w:val="00614C61"/>
    <w:rsid w:val="00616B20"/>
    <w:rsid w:val="00616F12"/>
    <w:rsid w:val="00620CE3"/>
    <w:rsid w:val="00621086"/>
    <w:rsid w:val="006227C5"/>
    <w:rsid w:val="0062286C"/>
    <w:rsid w:val="0062310D"/>
    <w:rsid w:val="00627A63"/>
    <w:rsid w:val="006307EA"/>
    <w:rsid w:val="00633F16"/>
    <w:rsid w:val="006365A1"/>
    <w:rsid w:val="00636AA2"/>
    <w:rsid w:val="00645AB7"/>
    <w:rsid w:val="0065083A"/>
    <w:rsid w:val="0065324E"/>
    <w:rsid w:val="00655B12"/>
    <w:rsid w:val="00656129"/>
    <w:rsid w:val="00663C49"/>
    <w:rsid w:val="00664E69"/>
    <w:rsid w:val="0066523E"/>
    <w:rsid w:val="00666764"/>
    <w:rsid w:val="0066694B"/>
    <w:rsid w:val="006674F2"/>
    <w:rsid w:val="00667DB6"/>
    <w:rsid w:val="00670670"/>
    <w:rsid w:val="00670E32"/>
    <w:rsid w:val="00671BF0"/>
    <w:rsid w:val="006771E8"/>
    <w:rsid w:val="00677736"/>
    <w:rsid w:val="00677C01"/>
    <w:rsid w:val="006806FB"/>
    <w:rsid w:val="006807CC"/>
    <w:rsid w:val="00681837"/>
    <w:rsid w:val="00683CC7"/>
    <w:rsid w:val="00686FA0"/>
    <w:rsid w:val="00692CA5"/>
    <w:rsid w:val="006932D7"/>
    <w:rsid w:val="0069702C"/>
    <w:rsid w:val="006A1A65"/>
    <w:rsid w:val="006A3BCB"/>
    <w:rsid w:val="006A5E6D"/>
    <w:rsid w:val="006A6BC0"/>
    <w:rsid w:val="006B06A2"/>
    <w:rsid w:val="006B33EC"/>
    <w:rsid w:val="006B4C9C"/>
    <w:rsid w:val="006B52B9"/>
    <w:rsid w:val="006C266A"/>
    <w:rsid w:val="006C3B54"/>
    <w:rsid w:val="006C3D37"/>
    <w:rsid w:val="006C586F"/>
    <w:rsid w:val="006C61A2"/>
    <w:rsid w:val="006C626B"/>
    <w:rsid w:val="006C6376"/>
    <w:rsid w:val="006C6FAD"/>
    <w:rsid w:val="006D03EC"/>
    <w:rsid w:val="006D0D86"/>
    <w:rsid w:val="006D4571"/>
    <w:rsid w:val="006D6FF5"/>
    <w:rsid w:val="006E1276"/>
    <w:rsid w:val="006E28FC"/>
    <w:rsid w:val="006E424D"/>
    <w:rsid w:val="006E7147"/>
    <w:rsid w:val="006F0225"/>
    <w:rsid w:val="006F1B19"/>
    <w:rsid w:val="006F29ED"/>
    <w:rsid w:val="006F3F0E"/>
    <w:rsid w:val="006F4F77"/>
    <w:rsid w:val="006F6165"/>
    <w:rsid w:val="007002BE"/>
    <w:rsid w:val="0070147C"/>
    <w:rsid w:val="007077CD"/>
    <w:rsid w:val="0071061B"/>
    <w:rsid w:val="00714FD6"/>
    <w:rsid w:val="00717440"/>
    <w:rsid w:val="007204B7"/>
    <w:rsid w:val="0072254C"/>
    <w:rsid w:val="0072277A"/>
    <w:rsid w:val="007265F7"/>
    <w:rsid w:val="007270E6"/>
    <w:rsid w:val="00730B6E"/>
    <w:rsid w:val="00730FAA"/>
    <w:rsid w:val="0073152F"/>
    <w:rsid w:val="00731894"/>
    <w:rsid w:val="00733290"/>
    <w:rsid w:val="00743640"/>
    <w:rsid w:val="00744428"/>
    <w:rsid w:val="00746796"/>
    <w:rsid w:val="00746D91"/>
    <w:rsid w:val="007508C7"/>
    <w:rsid w:val="00752B95"/>
    <w:rsid w:val="0075598A"/>
    <w:rsid w:val="00755F2A"/>
    <w:rsid w:val="00756C3A"/>
    <w:rsid w:val="0076009F"/>
    <w:rsid w:val="00761813"/>
    <w:rsid w:val="00762A33"/>
    <w:rsid w:val="007652E3"/>
    <w:rsid w:val="00767CF6"/>
    <w:rsid w:val="00771B85"/>
    <w:rsid w:val="00772706"/>
    <w:rsid w:val="00775B63"/>
    <w:rsid w:val="00775DA6"/>
    <w:rsid w:val="00775FE8"/>
    <w:rsid w:val="00777CE7"/>
    <w:rsid w:val="0078170A"/>
    <w:rsid w:val="00790956"/>
    <w:rsid w:val="0079502D"/>
    <w:rsid w:val="00795FE8"/>
    <w:rsid w:val="007A0755"/>
    <w:rsid w:val="007A1B77"/>
    <w:rsid w:val="007A255E"/>
    <w:rsid w:val="007A31D9"/>
    <w:rsid w:val="007A39BD"/>
    <w:rsid w:val="007A3D38"/>
    <w:rsid w:val="007A7215"/>
    <w:rsid w:val="007A74F9"/>
    <w:rsid w:val="007A7E5B"/>
    <w:rsid w:val="007C0FA2"/>
    <w:rsid w:val="007D3DD8"/>
    <w:rsid w:val="007D41A1"/>
    <w:rsid w:val="007D4D84"/>
    <w:rsid w:val="007E4204"/>
    <w:rsid w:val="007E44C3"/>
    <w:rsid w:val="007E483B"/>
    <w:rsid w:val="007E7192"/>
    <w:rsid w:val="007F3289"/>
    <w:rsid w:val="00800C9E"/>
    <w:rsid w:val="008017FF"/>
    <w:rsid w:val="008028C8"/>
    <w:rsid w:val="008033D0"/>
    <w:rsid w:val="008033F1"/>
    <w:rsid w:val="00803FB6"/>
    <w:rsid w:val="00804DAA"/>
    <w:rsid w:val="0080503B"/>
    <w:rsid w:val="0080597F"/>
    <w:rsid w:val="008059EF"/>
    <w:rsid w:val="008128F7"/>
    <w:rsid w:val="00812938"/>
    <w:rsid w:val="00812D93"/>
    <w:rsid w:val="008131D1"/>
    <w:rsid w:val="00815698"/>
    <w:rsid w:val="00820F30"/>
    <w:rsid w:val="00827B71"/>
    <w:rsid w:val="00830DAC"/>
    <w:rsid w:val="0083134C"/>
    <w:rsid w:val="00831C50"/>
    <w:rsid w:val="00832F51"/>
    <w:rsid w:val="00843100"/>
    <w:rsid w:val="00845D0A"/>
    <w:rsid w:val="00847054"/>
    <w:rsid w:val="00850F25"/>
    <w:rsid w:val="008534AA"/>
    <w:rsid w:val="00860FF0"/>
    <w:rsid w:val="0086189B"/>
    <w:rsid w:val="0086379E"/>
    <w:rsid w:val="008656FC"/>
    <w:rsid w:val="008679E9"/>
    <w:rsid w:val="00871331"/>
    <w:rsid w:val="008719C2"/>
    <w:rsid w:val="008723F1"/>
    <w:rsid w:val="008730EB"/>
    <w:rsid w:val="00874FF7"/>
    <w:rsid w:val="008762D6"/>
    <w:rsid w:val="00880D85"/>
    <w:rsid w:val="00884FF7"/>
    <w:rsid w:val="00885287"/>
    <w:rsid w:val="00887357"/>
    <w:rsid w:val="00890F57"/>
    <w:rsid w:val="00894ACE"/>
    <w:rsid w:val="008965EA"/>
    <w:rsid w:val="008A1FF2"/>
    <w:rsid w:val="008A4140"/>
    <w:rsid w:val="008B19D9"/>
    <w:rsid w:val="008B1FD3"/>
    <w:rsid w:val="008B204B"/>
    <w:rsid w:val="008B2E3B"/>
    <w:rsid w:val="008B3152"/>
    <w:rsid w:val="008B743B"/>
    <w:rsid w:val="008C1427"/>
    <w:rsid w:val="008C49AE"/>
    <w:rsid w:val="008C59F7"/>
    <w:rsid w:val="008C64D1"/>
    <w:rsid w:val="008D26C4"/>
    <w:rsid w:val="008D4145"/>
    <w:rsid w:val="008E03BA"/>
    <w:rsid w:val="008E51B9"/>
    <w:rsid w:val="008E6C91"/>
    <w:rsid w:val="008E7687"/>
    <w:rsid w:val="008E7AFC"/>
    <w:rsid w:val="008F0E3C"/>
    <w:rsid w:val="008F11FA"/>
    <w:rsid w:val="008F21A4"/>
    <w:rsid w:val="008F33AE"/>
    <w:rsid w:val="008F4ACA"/>
    <w:rsid w:val="008F6BF3"/>
    <w:rsid w:val="00900042"/>
    <w:rsid w:val="0090074E"/>
    <w:rsid w:val="009056BB"/>
    <w:rsid w:val="009060A0"/>
    <w:rsid w:val="00912F98"/>
    <w:rsid w:val="00914D1E"/>
    <w:rsid w:val="00917FBB"/>
    <w:rsid w:val="009219CA"/>
    <w:rsid w:val="009223D3"/>
    <w:rsid w:val="00923A3C"/>
    <w:rsid w:val="00926867"/>
    <w:rsid w:val="00931D7A"/>
    <w:rsid w:val="00935D8D"/>
    <w:rsid w:val="00942FE8"/>
    <w:rsid w:val="00954362"/>
    <w:rsid w:val="009554ED"/>
    <w:rsid w:val="00957E70"/>
    <w:rsid w:val="0096030F"/>
    <w:rsid w:val="00960523"/>
    <w:rsid w:val="0096066C"/>
    <w:rsid w:val="00962D2F"/>
    <w:rsid w:val="00964AB7"/>
    <w:rsid w:val="00970DAB"/>
    <w:rsid w:val="00972FF6"/>
    <w:rsid w:val="0097321D"/>
    <w:rsid w:val="00977C35"/>
    <w:rsid w:val="00986FC3"/>
    <w:rsid w:val="0099207E"/>
    <w:rsid w:val="00992531"/>
    <w:rsid w:val="00995CD5"/>
    <w:rsid w:val="009978E3"/>
    <w:rsid w:val="009A1787"/>
    <w:rsid w:val="009A4F5A"/>
    <w:rsid w:val="009A6A92"/>
    <w:rsid w:val="009A7525"/>
    <w:rsid w:val="009A78CA"/>
    <w:rsid w:val="009B1F44"/>
    <w:rsid w:val="009B2870"/>
    <w:rsid w:val="009B2A0A"/>
    <w:rsid w:val="009B4573"/>
    <w:rsid w:val="009B7037"/>
    <w:rsid w:val="009C002A"/>
    <w:rsid w:val="009C0DBC"/>
    <w:rsid w:val="009C1B59"/>
    <w:rsid w:val="009C6E3A"/>
    <w:rsid w:val="009C74BE"/>
    <w:rsid w:val="009C795A"/>
    <w:rsid w:val="009D3700"/>
    <w:rsid w:val="009D5DAE"/>
    <w:rsid w:val="009D65A6"/>
    <w:rsid w:val="009E278C"/>
    <w:rsid w:val="009E6ADF"/>
    <w:rsid w:val="009F4D4C"/>
    <w:rsid w:val="009F6EDC"/>
    <w:rsid w:val="00A01268"/>
    <w:rsid w:val="00A014EA"/>
    <w:rsid w:val="00A02A9B"/>
    <w:rsid w:val="00A035CE"/>
    <w:rsid w:val="00A0537F"/>
    <w:rsid w:val="00A0602E"/>
    <w:rsid w:val="00A06710"/>
    <w:rsid w:val="00A06C1F"/>
    <w:rsid w:val="00A07FFA"/>
    <w:rsid w:val="00A11712"/>
    <w:rsid w:val="00A11FB4"/>
    <w:rsid w:val="00A1550B"/>
    <w:rsid w:val="00A17B12"/>
    <w:rsid w:val="00A20D3D"/>
    <w:rsid w:val="00A24D7D"/>
    <w:rsid w:val="00A25AF2"/>
    <w:rsid w:val="00A35782"/>
    <w:rsid w:val="00A35E01"/>
    <w:rsid w:val="00A362F9"/>
    <w:rsid w:val="00A42289"/>
    <w:rsid w:val="00A43EE6"/>
    <w:rsid w:val="00A55352"/>
    <w:rsid w:val="00A561CC"/>
    <w:rsid w:val="00A60602"/>
    <w:rsid w:val="00A6088F"/>
    <w:rsid w:val="00A60F49"/>
    <w:rsid w:val="00A61A08"/>
    <w:rsid w:val="00A61E15"/>
    <w:rsid w:val="00A62910"/>
    <w:rsid w:val="00A6605E"/>
    <w:rsid w:val="00A66F91"/>
    <w:rsid w:val="00A70022"/>
    <w:rsid w:val="00A70229"/>
    <w:rsid w:val="00A71E33"/>
    <w:rsid w:val="00A750C9"/>
    <w:rsid w:val="00A85EBC"/>
    <w:rsid w:val="00A872ED"/>
    <w:rsid w:val="00A918D1"/>
    <w:rsid w:val="00A92368"/>
    <w:rsid w:val="00A93A9A"/>
    <w:rsid w:val="00A974F0"/>
    <w:rsid w:val="00AA12F4"/>
    <w:rsid w:val="00AA1C6E"/>
    <w:rsid w:val="00AA5638"/>
    <w:rsid w:val="00AA5C16"/>
    <w:rsid w:val="00AA5DAF"/>
    <w:rsid w:val="00AB235A"/>
    <w:rsid w:val="00AB4692"/>
    <w:rsid w:val="00AB5F8B"/>
    <w:rsid w:val="00AC0CD4"/>
    <w:rsid w:val="00AC2F15"/>
    <w:rsid w:val="00AC31D4"/>
    <w:rsid w:val="00AC4164"/>
    <w:rsid w:val="00AC6098"/>
    <w:rsid w:val="00AC6356"/>
    <w:rsid w:val="00AD077B"/>
    <w:rsid w:val="00AD3492"/>
    <w:rsid w:val="00AD567E"/>
    <w:rsid w:val="00AE2BF6"/>
    <w:rsid w:val="00AE3370"/>
    <w:rsid w:val="00AE46E7"/>
    <w:rsid w:val="00AE64CA"/>
    <w:rsid w:val="00AF010A"/>
    <w:rsid w:val="00AF1831"/>
    <w:rsid w:val="00AF2123"/>
    <w:rsid w:val="00AF229B"/>
    <w:rsid w:val="00AF3382"/>
    <w:rsid w:val="00AF7092"/>
    <w:rsid w:val="00AF7F2F"/>
    <w:rsid w:val="00B01879"/>
    <w:rsid w:val="00B05C31"/>
    <w:rsid w:val="00B06E81"/>
    <w:rsid w:val="00B115C1"/>
    <w:rsid w:val="00B1324D"/>
    <w:rsid w:val="00B13EE1"/>
    <w:rsid w:val="00B157E2"/>
    <w:rsid w:val="00B17C2E"/>
    <w:rsid w:val="00B22634"/>
    <w:rsid w:val="00B24A45"/>
    <w:rsid w:val="00B25B92"/>
    <w:rsid w:val="00B26948"/>
    <w:rsid w:val="00B34D51"/>
    <w:rsid w:val="00B36A0E"/>
    <w:rsid w:val="00B36BA1"/>
    <w:rsid w:val="00B40D67"/>
    <w:rsid w:val="00B412B2"/>
    <w:rsid w:val="00B41B88"/>
    <w:rsid w:val="00B43C45"/>
    <w:rsid w:val="00B4793D"/>
    <w:rsid w:val="00B55EE8"/>
    <w:rsid w:val="00B56E6C"/>
    <w:rsid w:val="00B63958"/>
    <w:rsid w:val="00B63D0E"/>
    <w:rsid w:val="00B6406C"/>
    <w:rsid w:val="00B647BC"/>
    <w:rsid w:val="00B67125"/>
    <w:rsid w:val="00B83039"/>
    <w:rsid w:val="00B91171"/>
    <w:rsid w:val="00B958B8"/>
    <w:rsid w:val="00B97D17"/>
    <w:rsid w:val="00BA2743"/>
    <w:rsid w:val="00BA388C"/>
    <w:rsid w:val="00BA38DA"/>
    <w:rsid w:val="00BA5B00"/>
    <w:rsid w:val="00BB1A07"/>
    <w:rsid w:val="00BB33A1"/>
    <w:rsid w:val="00BB6DAD"/>
    <w:rsid w:val="00BB7346"/>
    <w:rsid w:val="00BC1555"/>
    <w:rsid w:val="00BC3CB4"/>
    <w:rsid w:val="00BC4E36"/>
    <w:rsid w:val="00BC60A9"/>
    <w:rsid w:val="00BC7F39"/>
    <w:rsid w:val="00BD14BD"/>
    <w:rsid w:val="00BD2D05"/>
    <w:rsid w:val="00BD34D6"/>
    <w:rsid w:val="00BD6842"/>
    <w:rsid w:val="00BE0C8A"/>
    <w:rsid w:val="00BE334D"/>
    <w:rsid w:val="00BE4988"/>
    <w:rsid w:val="00BF1C24"/>
    <w:rsid w:val="00BF3073"/>
    <w:rsid w:val="00BF5E73"/>
    <w:rsid w:val="00BF791C"/>
    <w:rsid w:val="00C03999"/>
    <w:rsid w:val="00C04010"/>
    <w:rsid w:val="00C0500D"/>
    <w:rsid w:val="00C06939"/>
    <w:rsid w:val="00C07CB7"/>
    <w:rsid w:val="00C10298"/>
    <w:rsid w:val="00C10B42"/>
    <w:rsid w:val="00C12796"/>
    <w:rsid w:val="00C142C6"/>
    <w:rsid w:val="00C157B1"/>
    <w:rsid w:val="00C21863"/>
    <w:rsid w:val="00C21942"/>
    <w:rsid w:val="00C21E3B"/>
    <w:rsid w:val="00C33719"/>
    <w:rsid w:val="00C3572B"/>
    <w:rsid w:val="00C35800"/>
    <w:rsid w:val="00C35B1A"/>
    <w:rsid w:val="00C37933"/>
    <w:rsid w:val="00C40AC6"/>
    <w:rsid w:val="00C41C7D"/>
    <w:rsid w:val="00C43221"/>
    <w:rsid w:val="00C460C3"/>
    <w:rsid w:val="00C47B16"/>
    <w:rsid w:val="00C50CFF"/>
    <w:rsid w:val="00C534E8"/>
    <w:rsid w:val="00C55F1D"/>
    <w:rsid w:val="00C568F7"/>
    <w:rsid w:val="00C63023"/>
    <w:rsid w:val="00C63743"/>
    <w:rsid w:val="00C725FA"/>
    <w:rsid w:val="00C7292B"/>
    <w:rsid w:val="00C76C6C"/>
    <w:rsid w:val="00C804DE"/>
    <w:rsid w:val="00C80EC5"/>
    <w:rsid w:val="00C86BB9"/>
    <w:rsid w:val="00C8772C"/>
    <w:rsid w:val="00C9319B"/>
    <w:rsid w:val="00C936C2"/>
    <w:rsid w:val="00C94D6D"/>
    <w:rsid w:val="00C95DBE"/>
    <w:rsid w:val="00C9656E"/>
    <w:rsid w:val="00C978CD"/>
    <w:rsid w:val="00CA1E5F"/>
    <w:rsid w:val="00CA2F81"/>
    <w:rsid w:val="00CA43FD"/>
    <w:rsid w:val="00CB18EB"/>
    <w:rsid w:val="00CB441E"/>
    <w:rsid w:val="00CB5919"/>
    <w:rsid w:val="00CB7FE8"/>
    <w:rsid w:val="00CC04E0"/>
    <w:rsid w:val="00CC0E15"/>
    <w:rsid w:val="00CC4194"/>
    <w:rsid w:val="00CC557B"/>
    <w:rsid w:val="00CC5FCC"/>
    <w:rsid w:val="00CC72E9"/>
    <w:rsid w:val="00CC73A2"/>
    <w:rsid w:val="00CC783D"/>
    <w:rsid w:val="00CD25C2"/>
    <w:rsid w:val="00CD2620"/>
    <w:rsid w:val="00CD4D2E"/>
    <w:rsid w:val="00CD537E"/>
    <w:rsid w:val="00CD7339"/>
    <w:rsid w:val="00CE0614"/>
    <w:rsid w:val="00CE24E5"/>
    <w:rsid w:val="00CE3BC0"/>
    <w:rsid w:val="00CE41DB"/>
    <w:rsid w:val="00CE4D96"/>
    <w:rsid w:val="00CE570F"/>
    <w:rsid w:val="00CF0009"/>
    <w:rsid w:val="00D02383"/>
    <w:rsid w:val="00D04649"/>
    <w:rsid w:val="00D060D3"/>
    <w:rsid w:val="00D078C4"/>
    <w:rsid w:val="00D14D77"/>
    <w:rsid w:val="00D1564F"/>
    <w:rsid w:val="00D15846"/>
    <w:rsid w:val="00D15EA5"/>
    <w:rsid w:val="00D166E9"/>
    <w:rsid w:val="00D20272"/>
    <w:rsid w:val="00D20EC7"/>
    <w:rsid w:val="00D2100B"/>
    <w:rsid w:val="00D22635"/>
    <w:rsid w:val="00D23D11"/>
    <w:rsid w:val="00D3089E"/>
    <w:rsid w:val="00D30E0B"/>
    <w:rsid w:val="00D31D7A"/>
    <w:rsid w:val="00D31ECA"/>
    <w:rsid w:val="00D33E60"/>
    <w:rsid w:val="00D34178"/>
    <w:rsid w:val="00D3699C"/>
    <w:rsid w:val="00D420A1"/>
    <w:rsid w:val="00D4589A"/>
    <w:rsid w:val="00D460E7"/>
    <w:rsid w:val="00D46D75"/>
    <w:rsid w:val="00D57E9A"/>
    <w:rsid w:val="00D60780"/>
    <w:rsid w:val="00D637CC"/>
    <w:rsid w:val="00D63ABC"/>
    <w:rsid w:val="00D675F1"/>
    <w:rsid w:val="00D677EF"/>
    <w:rsid w:val="00D67C6F"/>
    <w:rsid w:val="00D73B96"/>
    <w:rsid w:val="00D80807"/>
    <w:rsid w:val="00D818F1"/>
    <w:rsid w:val="00D82675"/>
    <w:rsid w:val="00D86917"/>
    <w:rsid w:val="00D900C6"/>
    <w:rsid w:val="00D92E3D"/>
    <w:rsid w:val="00D92F9A"/>
    <w:rsid w:val="00D93B0A"/>
    <w:rsid w:val="00D9427D"/>
    <w:rsid w:val="00D9459B"/>
    <w:rsid w:val="00D96128"/>
    <w:rsid w:val="00DA280B"/>
    <w:rsid w:val="00DA303A"/>
    <w:rsid w:val="00DA36EE"/>
    <w:rsid w:val="00DA452E"/>
    <w:rsid w:val="00DA5128"/>
    <w:rsid w:val="00DA7444"/>
    <w:rsid w:val="00DA76D1"/>
    <w:rsid w:val="00DB0FEA"/>
    <w:rsid w:val="00DB308D"/>
    <w:rsid w:val="00DB5F40"/>
    <w:rsid w:val="00DC3B6C"/>
    <w:rsid w:val="00DC7818"/>
    <w:rsid w:val="00DD1E47"/>
    <w:rsid w:val="00DD42B1"/>
    <w:rsid w:val="00DD61A9"/>
    <w:rsid w:val="00DD6EF1"/>
    <w:rsid w:val="00DE4958"/>
    <w:rsid w:val="00DE5CBE"/>
    <w:rsid w:val="00DF110F"/>
    <w:rsid w:val="00DF71EE"/>
    <w:rsid w:val="00DF7E4A"/>
    <w:rsid w:val="00E0111C"/>
    <w:rsid w:val="00E04361"/>
    <w:rsid w:val="00E064FD"/>
    <w:rsid w:val="00E1053A"/>
    <w:rsid w:val="00E11F4A"/>
    <w:rsid w:val="00E12D82"/>
    <w:rsid w:val="00E13896"/>
    <w:rsid w:val="00E15746"/>
    <w:rsid w:val="00E21D7E"/>
    <w:rsid w:val="00E26969"/>
    <w:rsid w:val="00E26AF3"/>
    <w:rsid w:val="00E2700D"/>
    <w:rsid w:val="00E276E0"/>
    <w:rsid w:val="00E314EA"/>
    <w:rsid w:val="00E31982"/>
    <w:rsid w:val="00E31FA3"/>
    <w:rsid w:val="00E32428"/>
    <w:rsid w:val="00E331A5"/>
    <w:rsid w:val="00E33C6C"/>
    <w:rsid w:val="00E33FDA"/>
    <w:rsid w:val="00E3550F"/>
    <w:rsid w:val="00E406D5"/>
    <w:rsid w:val="00E42EAF"/>
    <w:rsid w:val="00E51C52"/>
    <w:rsid w:val="00E56701"/>
    <w:rsid w:val="00E61306"/>
    <w:rsid w:val="00E625A5"/>
    <w:rsid w:val="00E62754"/>
    <w:rsid w:val="00E635EC"/>
    <w:rsid w:val="00E64626"/>
    <w:rsid w:val="00E64D2D"/>
    <w:rsid w:val="00E6595E"/>
    <w:rsid w:val="00E6607B"/>
    <w:rsid w:val="00E670DE"/>
    <w:rsid w:val="00E725A6"/>
    <w:rsid w:val="00E753A3"/>
    <w:rsid w:val="00E83CC4"/>
    <w:rsid w:val="00E85D50"/>
    <w:rsid w:val="00E86B53"/>
    <w:rsid w:val="00E87619"/>
    <w:rsid w:val="00E9110B"/>
    <w:rsid w:val="00E925B5"/>
    <w:rsid w:val="00E936EC"/>
    <w:rsid w:val="00EA0B21"/>
    <w:rsid w:val="00EA2B6F"/>
    <w:rsid w:val="00EA5B04"/>
    <w:rsid w:val="00EB1FB2"/>
    <w:rsid w:val="00EB3478"/>
    <w:rsid w:val="00EB4270"/>
    <w:rsid w:val="00EB4B39"/>
    <w:rsid w:val="00EB6FE3"/>
    <w:rsid w:val="00EB7298"/>
    <w:rsid w:val="00EC07E8"/>
    <w:rsid w:val="00EC329A"/>
    <w:rsid w:val="00EC367E"/>
    <w:rsid w:val="00EC7B66"/>
    <w:rsid w:val="00ED0207"/>
    <w:rsid w:val="00ED31E4"/>
    <w:rsid w:val="00ED7818"/>
    <w:rsid w:val="00EE0314"/>
    <w:rsid w:val="00EE08BB"/>
    <w:rsid w:val="00EE0F65"/>
    <w:rsid w:val="00EE1059"/>
    <w:rsid w:val="00EE1E78"/>
    <w:rsid w:val="00EE2639"/>
    <w:rsid w:val="00EE557D"/>
    <w:rsid w:val="00EE613C"/>
    <w:rsid w:val="00EF598E"/>
    <w:rsid w:val="00F01557"/>
    <w:rsid w:val="00F0248B"/>
    <w:rsid w:val="00F04487"/>
    <w:rsid w:val="00F0728B"/>
    <w:rsid w:val="00F07314"/>
    <w:rsid w:val="00F16194"/>
    <w:rsid w:val="00F23C6A"/>
    <w:rsid w:val="00F246A1"/>
    <w:rsid w:val="00F31408"/>
    <w:rsid w:val="00F329C0"/>
    <w:rsid w:val="00F37917"/>
    <w:rsid w:val="00F4051F"/>
    <w:rsid w:val="00F40EF4"/>
    <w:rsid w:val="00F44AAA"/>
    <w:rsid w:val="00F45F83"/>
    <w:rsid w:val="00F46F51"/>
    <w:rsid w:val="00F471F7"/>
    <w:rsid w:val="00F478F2"/>
    <w:rsid w:val="00F5513E"/>
    <w:rsid w:val="00F55AE7"/>
    <w:rsid w:val="00F56521"/>
    <w:rsid w:val="00F572E2"/>
    <w:rsid w:val="00F63F3F"/>
    <w:rsid w:val="00F643FF"/>
    <w:rsid w:val="00F64616"/>
    <w:rsid w:val="00F66FA5"/>
    <w:rsid w:val="00F6775B"/>
    <w:rsid w:val="00F71678"/>
    <w:rsid w:val="00F725C7"/>
    <w:rsid w:val="00F730E3"/>
    <w:rsid w:val="00F74678"/>
    <w:rsid w:val="00F755E9"/>
    <w:rsid w:val="00F75FFE"/>
    <w:rsid w:val="00F81181"/>
    <w:rsid w:val="00F82BA5"/>
    <w:rsid w:val="00F83B3D"/>
    <w:rsid w:val="00F8422C"/>
    <w:rsid w:val="00F852AC"/>
    <w:rsid w:val="00F9049E"/>
    <w:rsid w:val="00F909CD"/>
    <w:rsid w:val="00F92D7A"/>
    <w:rsid w:val="00F9407C"/>
    <w:rsid w:val="00F974D1"/>
    <w:rsid w:val="00FA16E0"/>
    <w:rsid w:val="00FA395E"/>
    <w:rsid w:val="00FB2030"/>
    <w:rsid w:val="00FB368E"/>
    <w:rsid w:val="00FB379B"/>
    <w:rsid w:val="00FB5D56"/>
    <w:rsid w:val="00FB67B6"/>
    <w:rsid w:val="00FB7498"/>
    <w:rsid w:val="00FC1A54"/>
    <w:rsid w:val="00FC4397"/>
    <w:rsid w:val="00FD0173"/>
    <w:rsid w:val="00FD049D"/>
    <w:rsid w:val="00FD05AD"/>
    <w:rsid w:val="00FD0666"/>
    <w:rsid w:val="00FD079C"/>
    <w:rsid w:val="00FD1AE1"/>
    <w:rsid w:val="00FD4981"/>
    <w:rsid w:val="00FD4FAC"/>
    <w:rsid w:val="00FD7295"/>
    <w:rsid w:val="00FE10A1"/>
    <w:rsid w:val="00FE2187"/>
    <w:rsid w:val="00FE2924"/>
    <w:rsid w:val="00FE320C"/>
    <w:rsid w:val="00FE5B1B"/>
    <w:rsid w:val="00FF4164"/>
    <w:rsid w:val="00FF45D2"/>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873DF0B3-4EB8-4C44-8CE9-A1F4E346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qFormat/>
    <w:rsid w:val="00E331A5"/>
    <w:rPr>
      <w:rFonts w:cs="Angsana New"/>
      <w:sz w:val="24"/>
      <w:szCs w:val="28"/>
      <w:lang w:bidi="th-TH"/>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Cs w:val="26"/>
    </w:rPr>
  </w:style>
  <w:style w:type="paragraph" w:styleId="Heading6">
    <w:name w:val="heading 6"/>
    <w:basedOn w:val="Normal"/>
    <w:next w:val="Normal"/>
    <w:semiHidden/>
    <w:qFormat/>
    <w:rsid w:val="00452E7B"/>
    <w:pPr>
      <w:numPr>
        <w:ilvl w:val="5"/>
        <w:numId w:val="7"/>
      </w:numPr>
      <w:spacing w:before="240" w:after="60"/>
      <w:outlineLvl w:val="5"/>
    </w:pPr>
    <w:rPr>
      <w:rFonts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cs="Times New Roman"/>
      <w:szCs w:val="24"/>
    </w:rPr>
  </w:style>
  <w:style w:type="paragraph" w:styleId="Heading8">
    <w:name w:val="heading 8"/>
    <w:basedOn w:val="Normal"/>
    <w:next w:val="Normal"/>
    <w:semiHidden/>
    <w:qFormat/>
    <w:rsid w:val="00452E7B"/>
    <w:pPr>
      <w:numPr>
        <w:ilvl w:val="7"/>
        <w:numId w:val="7"/>
      </w:numPr>
      <w:spacing w:before="240" w:after="60"/>
      <w:outlineLvl w:val="7"/>
    </w:pPr>
    <w:rPr>
      <w:rFonts w:cs="Times New Roman"/>
      <w:i/>
      <w:iCs/>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pPr>
    <w:rPr>
      <w:i/>
      <w:iCs/>
      <w:color w:val="747678" w:themeColor="text2"/>
      <w:szCs w:val="18"/>
    </w:rPr>
  </w:style>
  <w:style w:type="paragraph" w:styleId="Closing">
    <w:name w:val="Closing"/>
    <w:basedOn w:val="Normal"/>
    <w:link w:val="ClosingChar"/>
    <w:semiHidden/>
    <w:unhideWhenUsed/>
    <w:rsid w:val="004A0DFE"/>
    <w:pPr>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tcBorders>
        <w:top w:val="nil"/>
        <w:left w:val="nil"/>
        <w:bottom w:val="nil"/>
        <w:right w:val="nil"/>
      </w:tcBorders>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tcBorders>
        <w:top w:val="nil"/>
        <w:left w:val="nil"/>
        <w:bottom w:val="nil"/>
        <w:right w:val="nil"/>
      </w:tcBorders>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tcBorders>
        <w:top w:val="nil"/>
        <w:left w:val="nil"/>
        <w:bottom w:val="nil"/>
        <w:right w:val="nil"/>
      </w:tcBorders>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tcBorders>
        <w:top w:val="nil"/>
        <w:left w:val="nil"/>
        <w:bottom w:val="nil"/>
        <w:right w:val="nil"/>
      </w:tcBorders>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tcBorders>
        <w:top w:val="nil"/>
        <w:left w:val="nil"/>
        <w:bottom w:val="nil"/>
        <w:right w:val="nil"/>
      </w:tcBorders>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tcBorders>
        <w:top w:val="nil"/>
        <w:left w:val="nil"/>
        <w:bottom w:val="nil"/>
        <w:right w:val="nil"/>
      </w:tcBorders>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tcBorders>
        <w:top w:val="nil"/>
        <w:left w:val="nil"/>
        <w:bottom w:val="nil"/>
        <w:right w:val="nil"/>
      </w:tcBorders>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tcBorders>
        <w:top w:val="nil"/>
        <w:left w:val="nil"/>
        <w:bottom w:val="nil"/>
        <w:right w:val="nil"/>
      </w:tcBorders>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tcBorders>
        <w:top w:val="nil"/>
        <w:left w:val="nil"/>
        <w:bottom w:val="nil"/>
        <w:right w:val="nil"/>
      </w:tcBorders>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tcBorders>
        <w:top w:val="nil"/>
        <w:left w:val="nil"/>
        <w:bottom w:val="nil"/>
        <w:right w:val="nil"/>
      </w:tcBorders>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tcBorders>
        <w:top w:val="nil"/>
        <w:left w:val="nil"/>
        <w:bottom w:val="nil"/>
        <w:right w:val="nil"/>
      </w:tcBorders>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tcBorders>
        <w:top w:val="nil"/>
        <w:left w:val="nil"/>
        <w:bottom w:val="nil"/>
        <w:right w:val="nil"/>
      </w:tcBorders>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tcBorders>
        <w:top w:val="nil"/>
        <w:left w:val="nil"/>
        <w:bottom w:val="nil"/>
        <w:right w:val="nil"/>
      </w:tcBorders>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4A0DFE"/>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Pr>
    <w:tcPr>
      <w:shd w:val="clear" w:color="auto" w:fill="CCCCCC" w:themeFill="text1" w:themeFillTint="33"/>
    </w:tc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style>
  <w:style w:type="table" w:styleId="GridTable2-Accent1">
    <w:name w:val="Grid Table 2 Accent 1"/>
    <w:basedOn w:val="TableNormal"/>
    <w:uiPriority w:val="47"/>
    <w:rsid w:val="004A0DFE"/>
    <w:tblPr>
      <w:tblStyleRowBandSize w:val="1"/>
      <w:tblStyleColBandSize w:val="1"/>
    </w:tblPr>
    <w:tcPr>
      <w:shd w:val="clear" w:color="auto" w:fill="DACDED" w:themeFill="accent1" w:themeFillTint="33"/>
    </w:tc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style>
  <w:style w:type="table" w:styleId="GridTable2-Accent2">
    <w:name w:val="Grid Table 2 Accent 2"/>
    <w:basedOn w:val="TableNormal"/>
    <w:uiPriority w:val="47"/>
    <w:rsid w:val="004A0DFE"/>
    <w:tblPr>
      <w:tblStyleRowBandSize w:val="1"/>
      <w:tblStyleColBandSize w:val="1"/>
    </w:tblPr>
    <w:tcPr>
      <w:shd w:val="clear" w:color="auto" w:fill="F4F2EF" w:themeFill="accent2" w:themeFillTint="33"/>
    </w:tc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style>
  <w:style w:type="table" w:styleId="GridTable2-Accent3">
    <w:name w:val="Grid Table 2 Accent 3"/>
    <w:basedOn w:val="TableNormal"/>
    <w:uiPriority w:val="47"/>
    <w:rsid w:val="004A0DFE"/>
    <w:tblPr>
      <w:tblStyleRowBandSize w:val="1"/>
      <w:tblStyleColBandSize w:val="1"/>
    </w:tblPr>
    <w:tcPr>
      <w:shd w:val="clear" w:color="auto" w:fill="BDF9FF" w:themeFill="accent3" w:themeFillTint="33"/>
    </w:tc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style>
  <w:style w:type="table" w:styleId="GridTable2-Accent4">
    <w:name w:val="Grid Table 2 Accent 4"/>
    <w:basedOn w:val="TableNormal"/>
    <w:uiPriority w:val="47"/>
    <w:rsid w:val="004A0DFE"/>
    <w:tblPr>
      <w:tblStyleRowBandSize w:val="1"/>
      <w:tblStyleColBandSize w:val="1"/>
    </w:tblPr>
    <w:tcPr>
      <w:shd w:val="clear" w:color="auto" w:fill="FFE4D2" w:themeFill="accent4" w:themeFillTint="33"/>
    </w:tc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style>
  <w:style w:type="table" w:styleId="GridTable2-Accent5">
    <w:name w:val="Grid Table 2 Accent 5"/>
    <w:basedOn w:val="TableNormal"/>
    <w:uiPriority w:val="47"/>
    <w:rsid w:val="004A0DFE"/>
    <w:tblPr>
      <w:tblStyleRowBandSize w:val="1"/>
      <w:tblStyleColBandSize w:val="1"/>
    </w:tblPr>
    <w:tcPr>
      <w:shd w:val="clear" w:color="auto" w:fill="EAF7D6" w:themeFill="accent5" w:themeFillTint="33"/>
    </w:tc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style>
  <w:style w:type="table" w:styleId="GridTable2-Accent6">
    <w:name w:val="Grid Table 2 Accent 6"/>
    <w:basedOn w:val="TableNormal"/>
    <w:uiPriority w:val="47"/>
    <w:rsid w:val="004A0DFE"/>
    <w:tblPr>
      <w:tblStyleRowBandSize w:val="1"/>
      <w:tblStyleColBandSize w:val="1"/>
    </w:tblPr>
    <w:tcPr>
      <w:shd w:val="clear" w:color="auto" w:fill="FAD3D8" w:themeFill="accent6" w:themeFillTint="33"/>
    </w:tc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style>
  <w:style w:type="table" w:styleId="GridTable3">
    <w:name w:val="Grid Table 3"/>
    <w:basedOn w:val="TableNormal"/>
    <w:uiPriority w:val="48"/>
    <w:rsid w:val="004A0DFE"/>
    <w:tblPr>
      <w:tblStyleRowBandSize w:val="1"/>
      <w:tblStyleColBandSize w:val="1"/>
    </w:tblPr>
    <w:tcPr>
      <w:shd w:val="clear" w:color="auto" w:fill="CCCCCC" w:themeFill="text1"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Pr>
    <w:tcPr>
      <w:shd w:val="clear" w:color="auto" w:fill="DACDED" w:themeFill="accent1"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Pr>
    <w:tcPr>
      <w:shd w:val="clear" w:color="auto" w:fill="F4F2EF" w:themeFill="accent2"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Pr>
    <w:tcPr>
      <w:shd w:val="clear" w:color="auto" w:fill="BDF9FF" w:themeFill="accent3"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Pr>
    <w:tcPr>
      <w:shd w:val="clear" w:color="auto" w:fill="FFE4D2" w:themeFill="accent4"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Pr>
    <w:tcPr>
      <w:shd w:val="clear" w:color="auto" w:fill="EAF7D6" w:themeFill="accent5"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Pr>
    <w:tcPr>
      <w:shd w:val="clear" w:color="auto" w:fill="FAD3D8" w:themeFill="accent6"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Pr>
    <w:tcPr>
      <w:tcBorders>
        <w:top w:val="double" w:sz="4" w:space="0" w:color="000000" w:themeColor="text1"/>
      </w:tcBorders>
      <w:shd w:val="clear" w:color="auto" w:fill="CCCCCC" w:themeFill="text1" w:themeFillTint="33"/>
    </w:tc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StylePr>
    <w:tblStylePr w:type="firstCol">
      <w:rPr>
        <w:b/>
        <w:bCs/>
      </w:rPr>
    </w:tblStylePr>
    <w:tblStylePr w:type="lastCol">
      <w:rPr>
        <w:b/>
        <w:bCs/>
      </w:rPr>
    </w:tblStylePr>
  </w:style>
  <w:style w:type="table" w:styleId="GridTable4-Accent1">
    <w:name w:val="Grid Table 4 Accent 1"/>
    <w:basedOn w:val="TableNormal"/>
    <w:uiPriority w:val="49"/>
    <w:rsid w:val="004A0DFE"/>
    <w:tblPr>
      <w:tblStyleRowBandSize w:val="1"/>
      <w:tblStyleColBandSize w:val="1"/>
    </w:tblPr>
    <w:tcPr>
      <w:tcBorders>
        <w:top w:val="double" w:sz="4" w:space="0" w:color="4F2D7F" w:themeColor="accent1"/>
      </w:tcBorders>
      <w:shd w:val="clear" w:color="auto" w:fill="DACDED" w:themeFill="accent1" w:themeFillTint="33"/>
    </w:tc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StylePr>
    <w:tblStylePr w:type="firstCol">
      <w:rPr>
        <w:b/>
        <w:bCs/>
      </w:rPr>
    </w:tblStylePr>
    <w:tblStylePr w:type="lastCol">
      <w:rPr>
        <w:b/>
        <w:bCs/>
      </w:rPr>
    </w:tblStylePr>
  </w:style>
  <w:style w:type="table" w:styleId="GridTable4-Accent2">
    <w:name w:val="Grid Table 4 Accent 2"/>
    <w:basedOn w:val="TableNormal"/>
    <w:uiPriority w:val="49"/>
    <w:rsid w:val="004A0DFE"/>
    <w:tblPr>
      <w:tblStyleRowBandSize w:val="1"/>
      <w:tblStyleColBandSize w:val="1"/>
    </w:tblPr>
    <w:tcPr>
      <w:tcBorders>
        <w:top w:val="double" w:sz="4" w:space="0" w:color="C8BEAF" w:themeColor="accent2"/>
      </w:tcBorders>
      <w:shd w:val="clear" w:color="auto" w:fill="F4F2EF" w:themeFill="accent2" w:themeFillTint="33"/>
    </w:tc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StylePr>
    <w:tblStylePr w:type="firstCol">
      <w:rPr>
        <w:b/>
        <w:bCs/>
      </w:rPr>
    </w:tblStylePr>
    <w:tblStylePr w:type="lastCol">
      <w:rPr>
        <w:b/>
        <w:bCs/>
      </w:rPr>
    </w:tblStylePr>
  </w:style>
  <w:style w:type="table" w:styleId="GridTable4-Accent3">
    <w:name w:val="Grid Table 4 Accent 3"/>
    <w:basedOn w:val="TableNormal"/>
    <w:uiPriority w:val="49"/>
    <w:rsid w:val="004A0DFE"/>
    <w:tblPr>
      <w:tblStyleRowBandSize w:val="1"/>
      <w:tblStyleColBandSize w:val="1"/>
    </w:tblPr>
    <w:tcPr>
      <w:tcBorders>
        <w:top w:val="double" w:sz="4" w:space="0" w:color="00A7B5" w:themeColor="accent3"/>
      </w:tcBorders>
      <w:shd w:val="clear" w:color="auto" w:fill="BDF9FF" w:themeFill="accent3" w:themeFillTint="33"/>
    </w:tc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StylePr>
    <w:tblStylePr w:type="firstCol">
      <w:rPr>
        <w:b/>
        <w:bCs/>
      </w:rPr>
    </w:tblStylePr>
    <w:tblStylePr w:type="lastCol">
      <w:rPr>
        <w:b/>
        <w:bCs/>
      </w:rPr>
    </w:tblStylePr>
  </w:style>
  <w:style w:type="table" w:styleId="GridTable4-Accent4">
    <w:name w:val="Grid Table 4 Accent 4"/>
    <w:basedOn w:val="TableNormal"/>
    <w:uiPriority w:val="49"/>
    <w:rsid w:val="004A0DFE"/>
    <w:tblPr>
      <w:tblStyleRowBandSize w:val="1"/>
      <w:tblStyleColBandSize w:val="1"/>
    </w:tblPr>
    <w:tcPr>
      <w:tcBorders>
        <w:top w:val="double" w:sz="4" w:space="0" w:color="FF7D1E" w:themeColor="accent4"/>
      </w:tcBorders>
      <w:shd w:val="clear" w:color="auto" w:fill="FFE4D2" w:themeFill="accent4" w:themeFillTint="33"/>
    </w:tc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StylePr>
    <w:tblStylePr w:type="firstCol">
      <w:rPr>
        <w:b/>
        <w:bCs/>
      </w:rPr>
    </w:tblStylePr>
    <w:tblStylePr w:type="lastCol">
      <w:rPr>
        <w:b/>
        <w:bCs/>
      </w:rPr>
    </w:tblStylePr>
  </w:style>
  <w:style w:type="table" w:styleId="GridTable4-Accent5">
    <w:name w:val="Grid Table 4 Accent 5"/>
    <w:basedOn w:val="TableNormal"/>
    <w:uiPriority w:val="49"/>
    <w:rsid w:val="004A0DFE"/>
    <w:tblPr>
      <w:tblStyleRowBandSize w:val="1"/>
      <w:tblStyleColBandSize w:val="1"/>
    </w:tblPr>
    <w:tcPr>
      <w:tcBorders>
        <w:top w:val="double" w:sz="4" w:space="0" w:color="9BD732" w:themeColor="accent5"/>
      </w:tcBorders>
      <w:shd w:val="clear" w:color="auto" w:fill="EAF7D6" w:themeFill="accent5" w:themeFillTint="33"/>
    </w:tc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StylePr>
    <w:tblStylePr w:type="firstCol">
      <w:rPr>
        <w:b/>
        <w:bCs/>
      </w:rPr>
    </w:tblStylePr>
    <w:tblStylePr w:type="lastCol">
      <w:rPr>
        <w:b/>
        <w:bCs/>
      </w:rPr>
    </w:tblStylePr>
  </w:style>
  <w:style w:type="table" w:styleId="GridTable4-Accent6">
    <w:name w:val="Grid Table 4 Accent 6"/>
    <w:basedOn w:val="TableNormal"/>
    <w:uiPriority w:val="49"/>
    <w:rsid w:val="004A0DFE"/>
    <w:tblPr>
      <w:tblStyleRowBandSize w:val="1"/>
      <w:tblStyleColBandSize w:val="1"/>
    </w:tblPr>
    <w:tcPr>
      <w:tcBorders>
        <w:top w:val="double" w:sz="4" w:space="0" w:color="E92841" w:themeColor="accent6"/>
      </w:tcBorders>
      <w:shd w:val="clear" w:color="auto" w:fill="FAD3D8" w:themeFill="accent6" w:themeFillTint="33"/>
    </w:tc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StylePr>
    <w:tblStylePr w:type="firstCol">
      <w:rPr>
        <w:b/>
        <w:bCs/>
      </w:rPr>
    </w:tblStylePr>
    <w:tblStylePr w:type="lastCol">
      <w:rPr>
        <w:b/>
        <w:bCs/>
      </w:rPr>
    </w:tblStylePr>
  </w:style>
  <w:style w:type="table" w:styleId="GridTable5Dark">
    <w:name w:val="Grid Table 5 Dark"/>
    <w:basedOn w:val="TableNormal"/>
    <w:uiPriority w:val="50"/>
    <w:rsid w:val="004A0DFE"/>
    <w:tblPr>
      <w:tblStyleRowBandSize w:val="1"/>
      <w:tblStyleColBandSize w:val="1"/>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ind w:left="180" w:hanging="180"/>
    </w:pPr>
  </w:style>
  <w:style w:type="paragraph" w:styleId="Index2">
    <w:name w:val="index 2"/>
    <w:basedOn w:val="Normal"/>
    <w:next w:val="Normal"/>
    <w:autoRedefine/>
    <w:semiHidden/>
    <w:unhideWhenUsed/>
    <w:rsid w:val="004A0DFE"/>
    <w:pPr>
      <w:ind w:left="360" w:hanging="180"/>
    </w:pPr>
  </w:style>
  <w:style w:type="paragraph" w:styleId="Index3">
    <w:name w:val="index 3"/>
    <w:basedOn w:val="Normal"/>
    <w:next w:val="Normal"/>
    <w:autoRedefine/>
    <w:semiHidden/>
    <w:unhideWhenUsed/>
    <w:rsid w:val="004A0DFE"/>
    <w:pPr>
      <w:ind w:left="540" w:hanging="180"/>
    </w:pPr>
  </w:style>
  <w:style w:type="paragraph" w:styleId="Index4">
    <w:name w:val="index 4"/>
    <w:basedOn w:val="Normal"/>
    <w:next w:val="Normal"/>
    <w:autoRedefine/>
    <w:semiHidden/>
    <w:unhideWhenUsed/>
    <w:rsid w:val="004A0DFE"/>
    <w:pPr>
      <w:ind w:left="720" w:hanging="180"/>
    </w:pPr>
  </w:style>
  <w:style w:type="paragraph" w:styleId="Index5">
    <w:name w:val="index 5"/>
    <w:basedOn w:val="Normal"/>
    <w:next w:val="Normal"/>
    <w:autoRedefine/>
    <w:semiHidden/>
    <w:unhideWhenUsed/>
    <w:rsid w:val="004A0DFE"/>
    <w:pPr>
      <w:ind w:left="900" w:hanging="180"/>
    </w:pPr>
  </w:style>
  <w:style w:type="paragraph" w:styleId="Index6">
    <w:name w:val="index 6"/>
    <w:basedOn w:val="Normal"/>
    <w:next w:val="Normal"/>
    <w:autoRedefine/>
    <w:semiHidden/>
    <w:unhideWhenUsed/>
    <w:rsid w:val="004A0DFE"/>
    <w:pPr>
      <w:ind w:left="1080" w:hanging="180"/>
    </w:pPr>
  </w:style>
  <w:style w:type="paragraph" w:styleId="Index7">
    <w:name w:val="index 7"/>
    <w:basedOn w:val="Normal"/>
    <w:next w:val="Normal"/>
    <w:autoRedefine/>
    <w:semiHidden/>
    <w:unhideWhenUsed/>
    <w:rsid w:val="004A0DFE"/>
    <w:pPr>
      <w:ind w:left="1260" w:hanging="180"/>
    </w:pPr>
  </w:style>
  <w:style w:type="paragraph" w:styleId="Index8">
    <w:name w:val="index 8"/>
    <w:basedOn w:val="Normal"/>
    <w:next w:val="Normal"/>
    <w:autoRedefine/>
    <w:semiHidden/>
    <w:unhideWhenUsed/>
    <w:rsid w:val="004A0DFE"/>
    <w:pPr>
      <w:ind w:left="1440" w:hanging="180"/>
    </w:pPr>
  </w:style>
  <w:style w:type="paragraph" w:styleId="Index9">
    <w:name w:val="index 9"/>
    <w:basedOn w:val="Normal"/>
    <w:next w:val="Normal"/>
    <w:autoRedefine/>
    <w:semiHidden/>
    <w:unhideWhenUsed/>
    <w:rsid w:val="004A0DFE"/>
    <w:pPr>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style>
  <w:style w:type="table" w:styleId="LightList-Accent1">
    <w:name w:val="Light List Accent 1"/>
    <w:basedOn w:val="TableNormal"/>
    <w:uiPriority w:val="61"/>
    <w:semiHidden/>
    <w:unhideWhenUsed/>
    <w:rsid w:val="004A0DFE"/>
    <w:tblPr>
      <w:tblStyleRowBandSize w:val="1"/>
      <w:tblStyleColBandSize w:val="1"/>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style>
  <w:style w:type="table" w:styleId="LightList-Accent2">
    <w:name w:val="Light List Accent 2"/>
    <w:basedOn w:val="TableNormal"/>
    <w:uiPriority w:val="61"/>
    <w:semiHidden/>
    <w:unhideWhenUsed/>
    <w:rsid w:val="004A0DFE"/>
    <w:tblPr>
      <w:tblStyleRowBandSize w:val="1"/>
      <w:tblStyleColBandSize w:val="1"/>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style>
  <w:style w:type="table" w:styleId="LightList-Accent3">
    <w:name w:val="Light List Accent 3"/>
    <w:basedOn w:val="TableNormal"/>
    <w:uiPriority w:val="61"/>
    <w:semiHidden/>
    <w:unhideWhenUsed/>
    <w:rsid w:val="004A0DFE"/>
    <w:tblPr>
      <w:tblStyleRowBandSize w:val="1"/>
      <w:tblStyleColBandSize w:val="1"/>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style>
  <w:style w:type="table" w:styleId="LightList-Accent4">
    <w:name w:val="Light List Accent 4"/>
    <w:basedOn w:val="TableNormal"/>
    <w:uiPriority w:val="61"/>
    <w:semiHidden/>
    <w:unhideWhenUsed/>
    <w:rsid w:val="004A0DFE"/>
    <w:tblPr>
      <w:tblStyleRowBandSize w:val="1"/>
      <w:tblStyleColBandSize w:val="1"/>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style>
  <w:style w:type="table" w:styleId="LightList-Accent5">
    <w:name w:val="Light List Accent 5"/>
    <w:basedOn w:val="TableNormal"/>
    <w:uiPriority w:val="61"/>
    <w:semiHidden/>
    <w:unhideWhenUsed/>
    <w:rsid w:val="004A0DFE"/>
    <w:tblPr>
      <w:tblStyleRowBandSize w:val="1"/>
      <w:tblStyleColBandSize w:val="1"/>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style>
  <w:style w:type="table" w:styleId="LightList-Accent6">
    <w:name w:val="Light List Accent 6"/>
    <w:basedOn w:val="TableNormal"/>
    <w:uiPriority w:val="61"/>
    <w:semiHidden/>
    <w:unhideWhenUsed/>
    <w:rsid w:val="004A0DFE"/>
    <w:tblPr>
      <w:tblStyleRowBandSize w:val="1"/>
      <w:tblStyleColBandSize w:val="1"/>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link w:val="ListParagraphChar"/>
    <w:uiPriority w:val="34"/>
    <w:unhideWhenUsed/>
    <w:qFormat/>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Pr>
    <w:tcPr>
      <w:shd w:val="clear" w:color="auto" w:fill="CCCCCC" w:themeFill="text1" w:themeFillTint="33"/>
    </w:tcPr>
    <w:tblStylePr w:type="firstRow">
      <w:rPr>
        <w:b/>
        <w:bCs/>
      </w:rPr>
    </w:tblStylePr>
    <w:tblStylePr w:type="lastRow">
      <w:rPr>
        <w:b/>
        <w:bCs/>
      </w:rPr>
    </w:tblStylePr>
    <w:tblStylePr w:type="firstCol">
      <w:rPr>
        <w:b/>
        <w:bCs/>
      </w:rPr>
    </w:tblStylePr>
    <w:tblStylePr w:type="lastCol">
      <w:rPr>
        <w:b/>
        <w:bCs/>
      </w:rPr>
    </w:tblStylePr>
  </w:style>
  <w:style w:type="table" w:styleId="ListTable2-Accent1">
    <w:name w:val="List Table 2 Accent 1"/>
    <w:basedOn w:val="TableNormal"/>
    <w:uiPriority w:val="47"/>
    <w:rsid w:val="004A0DFE"/>
    <w:tblPr>
      <w:tblStyleRowBandSize w:val="1"/>
      <w:tblStyleColBandSize w:val="1"/>
    </w:tblPr>
    <w:tcPr>
      <w:shd w:val="clear" w:color="auto" w:fill="DACDED" w:themeFill="accent1" w:themeFillTint="33"/>
    </w:tcPr>
    <w:tblStylePr w:type="firstRow">
      <w:rPr>
        <w:b/>
        <w:bCs/>
      </w:rPr>
    </w:tblStylePr>
    <w:tblStylePr w:type="lastRow">
      <w:rPr>
        <w:b/>
        <w:bCs/>
      </w:rPr>
    </w:tblStylePr>
    <w:tblStylePr w:type="firstCol">
      <w:rPr>
        <w:b/>
        <w:bCs/>
      </w:rPr>
    </w:tblStylePr>
    <w:tblStylePr w:type="lastCol">
      <w:rPr>
        <w:b/>
        <w:bCs/>
      </w:rPr>
    </w:tblStylePr>
  </w:style>
  <w:style w:type="table" w:styleId="ListTable2-Accent2">
    <w:name w:val="List Table 2 Accent 2"/>
    <w:basedOn w:val="TableNormal"/>
    <w:uiPriority w:val="47"/>
    <w:rsid w:val="004A0DFE"/>
    <w:tblPr>
      <w:tblStyleRowBandSize w:val="1"/>
      <w:tblStyleColBandSize w:val="1"/>
    </w:tblPr>
    <w:tcPr>
      <w:shd w:val="clear" w:color="auto" w:fill="F4F2EF" w:themeFill="accent2" w:themeFillTint="33"/>
    </w:tcPr>
    <w:tblStylePr w:type="firstRow">
      <w:rPr>
        <w:b/>
        <w:bCs/>
      </w:rPr>
    </w:tblStylePr>
    <w:tblStylePr w:type="lastRow">
      <w:rPr>
        <w:b/>
        <w:bCs/>
      </w:rPr>
    </w:tblStylePr>
    <w:tblStylePr w:type="firstCol">
      <w:rPr>
        <w:b/>
        <w:bCs/>
      </w:rPr>
    </w:tblStylePr>
    <w:tblStylePr w:type="lastCol">
      <w:rPr>
        <w:b/>
        <w:bCs/>
      </w:rPr>
    </w:tblStylePr>
  </w:style>
  <w:style w:type="table" w:styleId="ListTable2-Accent3">
    <w:name w:val="List Table 2 Accent 3"/>
    <w:basedOn w:val="TableNormal"/>
    <w:uiPriority w:val="47"/>
    <w:rsid w:val="004A0DFE"/>
    <w:tblPr>
      <w:tblStyleRowBandSize w:val="1"/>
      <w:tblStyleColBandSize w:val="1"/>
    </w:tblPr>
    <w:tcPr>
      <w:shd w:val="clear" w:color="auto" w:fill="BDF9FF" w:themeFill="accent3" w:themeFillTint="33"/>
    </w:tcPr>
    <w:tblStylePr w:type="firstRow">
      <w:rPr>
        <w:b/>
        <w:bCs/>
      </w:rPr>
    </w:tblStylePr>
    <w:tblStylePr w:type="lastRow">
      <w:rPr>
        <w:b/>
        <w:bCs/>
      </w:rPr>
    </w:tblStylePr>
    <w:tblStylePr w:type="firstCol">
      <w:rPr>
        <w:b/>
        <w:bCs/>
      </w:rPr>
    </w:tblStylePr>
    <w:tblStylePr w:type="lastCol">
      <w:rPr>
        <w:b/>
        <w:bCs/>
      </w:rPr>
    </w:tblStylePr>
  </w:style>
  <w:style w:type="table" w:styleId="ListTable2-Accent4">
    <w:name w:val="List Table 2 Accent 4"/>
    <w:basedOn w:val="TableNormal"/>
    <w:uiPriority w:val="47"/>
    <w:rsid w:val="004A0DFE"/>
    <w:tblPr>
      <w:tblStyleRowBandSize w:val="1"/>
      <w:tblStyleColBandSize w:val="1"/>
    </w:tblPr>
    <w:tcPr>
      <w:shd w:val="clear" w:color="auto" w:fill="FFE4D2" w:themeFill="accent4" w:themeFillTint="33"/>
    </w:tcPr>
    <w:tblStylePr w:type="firstRow">
      <w:rPr>
        <w:b/>
        <w:bCs/>
      </w:rPr>
    </w:tblStylePr>
    <w:tblStylePr w:type="lastRow">
      <w:rPr>
        <w:b/>
        <w:bCs/>
      </w:rPr>
    </w:tblStylePr>
    <w:tblStylePr w:type="firstCol">
      <w:rPr>
        <w:b/>
        <w:bCs/>
      </w:rPr>
    </w:tblStylePr>
    <w:tblStylePr w:type="lastCol">
      <w:rPr>
        <w:b/>
        <w:bCs/>
      </w:rPr>
    </w:tblStylePr>
  </w:style>
  <w:style w:type="table" w:styleId="ListTable2-Accent5">
    <w:name w:val="List Table 2 Accent 5"/>
    <w:basedOn w:val="TableNormal"/>
    <w:uiPriority w:val="47"/>
    <w:rsid w:val="004A0DFE"/>
    <w:tblPr>
      <w:tblStyleRowBandSize w:val="1"/>
      <w:tblStyleColBandSize w:val="1"/>
    </w:tblPr>
    <w:tcPr>
      <w:shd w:val="clear" w:color="auto" w:fill="EAF7D6" w:themeFill="accent5" w:themeFillTint="33"/>
    </w:tcPr>
    <w:tblStylePr w:type="firstRow">
      <w:rPr>
        <w:b/>
        <w:bCs/>
      </w:rPr>
    </w:tblStylePr>
    <w:tblStylePr w:type="lastRow">
      <w:rPr>
        <w:b/>
        <w:bCs/>
      </w:rPr>
    </w:tblStylePr>
    <w:tblStylePr w:type="firstCol">
      <w:rPr>
        <w:b/>
        <w:bCs/>
      </w:rPr>
    </w:tblStylePr>
    <w:tblStylePr w:type="lastCol">
      <w:rPr>
        <w:b/>
        <w:bCs/>
      </w:rPr>
    </w:tblStylePr>
  </w:style>
  <w:style w:type="table" w:styleId="ListTable2-Accent6">
    <w:name w:val="List Table 2 Accent 6"/>
    <w:basedOn w:val="TableNormal"/>
    <w:uiPriority w:val="47"/>
    <w:rsid w:val="004A0DFE"/>
    <w:tblPr>
      <w:tblStyleRowBandSize w:val="1"/>
      <w:tblStyleColBandSize w:val="1"/>
    </w:tblPr>
    <w:tcPr>
      <w:shd w:val="clear" w:color="auto" w:fill="FAD3D8" w:themeFill="accent6" w:themeFillTint="33"/>
    </w:tcPr>
    <w:tblStylePr w:type="firstRow">
      <w:rPr>
        <w:b/>
        <w:bCs/>
      </w:rPr>
    </w:tblStylePr>
    <w:tblStylePr w:type="lastRow">
      <w:rPr>
        <w:b/>
        <w:bCs/>
      </w:rPr>
    </w:tblStylePr>
    <w:tblStylePr w:type="firstCol">
      <w:rPr>
        <w:b/>
        <w:bCs/>
      </w:rPr>
    </w:tblStylePr>
    <w:tblStylePr w:type="lastCol">
      <w:rPr>
        <w:b/>
        <w:bCs/>
      </w:r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cPr>
      <w:tcBorders>
        <w:left w:val="single" w:sz="4" w:space="0" w:color="000000" w:themeColor="text1"/>
      </w:tcBorders>
      <w:shd w:val="clear" w:color="auto" w:fill="CCCCCC" w:themeFill="text1" w:themeFillTint="33"/>
    </w:tc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cPr>
      <w:tcBorders>
        <w:left w:val="single" w:sz="4" w:space="0" w:color="4F2D7F" w:themeColor="accent1"/>
      </w:tcBorders>
      <w:shd w:val="clear" w:color="auto" w:fill="DACDED" w:themeFill="accent1" w:themeFillTint="33"/>
    </w:tc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cPr>
      <w:tcBorders>
        <w:left w:val="single" w:sz="4" w:space="0" w:color="C8BEAF" w:themeColor="accent2"/>
      </w:tcBorders>
      <w:shd w:val="clear" w:color="auto" w:fill="F4F2EF" w:themeFill="accent2" w:themeFillTint="33"/>
    </w:tc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cPr>
      <w:tcBorders>
        <w:left w:val="single" w:sz="4" w:space="0" w:color="00A7B5" w:themeColor="accent3"/>
      </w:tcBorders>
      <w:shd w:val="clear" w:color="auto" w:fill="BDF9FF" w:themeFill="accent3" w:themeFillTint="33"/>
    </w:tc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cPr>
      <w:tcBorders>
        <w:left w:val="single" w:sz="4" w:space="0" w:color="FF7D1E" w:themeColor="accent4"/>
      </w:tcBorders>
      <w:shd w:val="clear" w:color="auto" w:fill="FFE4D2" w:themeFill="accent4" w:themeFillTint="33"/>
    </w:tc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cPr>
      <w:tcBorders>
        <w:left w:val="single" w:sz="4" w:space="0" w:color="9BD732" w:themeColor="accent5"/>
      </w:tcBorders>
      <w:shd w:val="clear" w:color="auto" w:fill="EAF7D6" w:themeFill="accent5" w:themeFillTint="33"/>
    </w:tc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cPr>
      <w:tcBorders>
        <w:left w:val="single" w:sz="4" w:space="0" w:color="E92841" w:themeColor="accent6"/>
      </w:tcBorders>
      <w:shd w:val="clear" w:color="auto" w:fill="FAD3D8" w:themeFill="accent6" w:themeFillTint="33"/>
    </w:tc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Pr>
    <w:tcPr>
      <w:shd w:val="clear" w:color="auto" w:fill="C0C0C0" w:themeFill="text1" w:themeFillTint="3F"/>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Pr>
    <w:tcPr>
      <w:shd w:val="clear" w:color="auto" w:fill="D1C1E9" w:themeFill="accent1" w:themeFillTint="3F"/>
    </w:tc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Pr>
    <w:tcPr>
      <w:shd w:val="clear" w:color="auto" w:fill="F1EEEB" w:themeFill="accent2" w:themeFillTint="3F"/>
    </w:tc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Pr>
    <w:tcPr>
      <w:shd w:val="clear" w:color="auto" w:fill="ADF8FF" w:themeFill="accent3" w:themeFillTint="3F"/>
    </w:tc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Pr>
    <w:tcPr>
      <w:shd w:val="clear" w:color="auto" w:fill="FFDEC7" w:themeFill="accent4" w:themeFillTint="3F"/>
    </w:tc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Pr>
    <w:tcPr>
      <w:shd w:val="clear" w:color="auto" w:fill="E6F5CC" w:themeFill="accent5" w:themeFillTint="3F"/>
    </w:tc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Pr>
    <w:tcPr>
      <w:shd w:val="clear" w:color="auto" w:fill="F9C9CF" w:themeFill="accent6" w:themeFillTint="3F"/>
    </w:tc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Pr>
    <w:tcPr>
      <w:shd w:val="clear" w:color="auto" w:fill="C0C0C0" w:themeFill="text1" w:themeFillTint="3F"/>
    </w:tc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style>
  <w:style w:type="table" w:styleId="MediumShading1-Accent1">
    <w:name w:val="Medium Shading 1 Accent 1"/>
    <w:basedOn w:val="TableNormal"/>
    <w:uiPriority w:val="63"/>
    <w:semiHidden/>
    <w:unhideWhenUsed/>
    <w:rsid w:val="004A0DFE"/>
    <w:tblPr>
      <w:tblStyleRowBandSize w:val="1"/>
      <w:tblStyleColBandSize w:val="1"/>
    </w:tblPr>
    <w:tcPr>
      <w:shd w:val="clear" w:color="auto" w:fill="D1C1E9" w:themeFill="accent1" w:themeFillTint="3F"/>
    </w:tc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style>
  <w:style w:type="table" w:styleId="MediumShading1-Accent2">
    <w:name w:val="Medium Shading 1 Accent 2"/>
    <w:basedOn w:val="TableNormal"/>
    <w:uiPriority w:val="63"/>
    <w:semiHidden/>
    <w:unhideWhenUsed/>
    <w:rsid w:val="004A0DFE"/>
    <w:tblPr>
      <w:tblStyleRowBandSize w:val="1"/>
      <w:tblStyleColBandSize w:val="1"/>
    </w:tblPr>
    <w:tcPr>
      <w:shd w:val="clear" w:color="auto" w:fill="F1EEEB" w:themeFill="accent2" w:themeFillTint="3F"/>
    </w:tc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style>
  <w:style w:type="table" w:styleId="MediumShading1-Accent3">
    <w:name w:val="Medium Shading 1 Accent 3"/>
    <w:basedOn w:val="TableNormal"/>
    <w:uiPriority w:val="63"/>
    <w:semiHidden/>
    <w:unhideWhenUsed/>
    <w:rsid w:val="004A0DFE"/>
    <w:tblPr>
      <w:tblStyleRowBandSize w:val="1"/>
      <w:tblStyleColBandSize w:val="1"/>
    </w:tblPr>
    <w:tcPr>
      <w:shd w:val="clear" w:color="auto" w:fill="ADF8FF" w:themeFill="accent3" w:themeFillTint="3F"/>
    </w:tc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style>
  <w:style w:type="table" w:styleId="MediumShading1-Accent4">
    <w:name w:val="Medium Shading 1 Accent 4"/>
    <w:basedOn w:val="TableNormal"/>
    <w:uiPriority w:val="63"/>
    <w:semiHidden/>
    <w:unhideWhenUsed/>
    <w:rsid w:val="004A0DFE"/>
    <w:tblPr>
      <w:tblStyleRowBandSize w:val="1"/>
      <w:tblStyleColBandSize w:val="1"/>
    </w:tblPr>
    <w:tcPr>
      <w:shd w:val="clear" w:color="auto" w:fill="FFDEC7" w:themeFill="accent4" w:themeFillTint="3F"/>
    </w:tc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style>
  <w:style w:type="table" w:styleId="MediumShading1-Accent5">
    <w:name w:val="Medium Shading 1 Accent 5"/>
    <w:basedOn w:val="TableNormal"/>
    <w:uiPriority w:val="63"/>
    <w:semiHidden/>
    <w:unhideWhenUsed/>
    <w:rsid w:val="004A0DFE"/>
    <w:tblPr>
      <w:tblStyleRowBandSize w:val="1"/>
      <w:tblStyleColBandSize w:val="1"/>
    </w:tblPr>
    <w:tcPr>
      <w:shd w:val="clear" w:color="auto" w:fill="E6F5CC" w:themeFill="accent5" w:themeFillTint="3F"/>
    </w:tc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style>
  <w:style w:type="table" w:styleId="MediumShading1-Accent6">
    <w:name w:val="Medium Shading 1 Accent 6"/>
    <w:basedOn w:val="TableNormal"/>
    <w:uiPriority w:val="63"/>
    <w:semiHidden/>
    <w:unhideWhenUsed/>
    <w:rsid w:val="004A0DFE"/>
    <w:tblPr>
      <w:tblStyleRowBandSize w:val="1"/>
      <w:tblStyleColBandSize w:val="1"/>
    </w:tblPr>
    <w:tcPr>
      <w:shd w:val="clear" w:color="auto" w:fill="F9C9CF" w:themeFill="accent6" w:themeFillTint="3F"/>
    </w:tc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style>
  <w:style w:type="table" w:styleId="MediumShading2">
    <w:name w:val="Medium Shading 2"/>
    <w:basedOn w:val="TableNormal"/>
    <w:uiPriority w:val="64"/>
    <w:semiHidden/>
    <w:unhideWhenUsed/>
    <w:rsid w:val="004A0DFE"/>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cs="Times New Roman"/>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Pr>
    <w:tcPr>
      <w:shd w:val="clear" w:color="auto" w:fill="F2F2F2" w:themeFill="background1" w:themeFillShade="F2"/>
    </w:tc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style>
  <w:style w:type="table" w:styleId="PlainTable2">
    <w:name w:val="Plain Table 2"/>
    <w:basedOn w:val="TableNormal"/>
    <w:uiPriority w:val="42"/>
    <w:rsid w:val="004A0DFE"/>
    <w:tblPr>
      <w:tblStyleRowBandSize w:val="1"/>
      <w:tblStyleColBandSize w:val="1"/>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cPr>
      <w:tcBorders>
        <w:right w:val="single" w:sz="4" w:space="0" w:color="7F7F7F" w:themeColor="text1" w:themeTint="80"/>
      </w:tcBorders>
    </w:tc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Pr w:type="firstRow">
      <w:rPr>
        <w:b/>
        <w:bCs/>
      </w:rPr>
    </w:tblStylePr>
    <w:tblStylePr w:type="lastRow">
      <w:rPr>
        <w:b/>
        <w:bCs/>
      </w:rPr>
    </w:tblStylePr>
    <w:tblStylePr w:type="firstCol">
      <w:rPr>
        <w:b/>
        <w:bCs/>
      </w:rPr>
    </w:tblStylePr>
    <w:tblStylePr w:type="lastCol">
      <w:rPr>
        <w:b/>
        <w:bCs/>
      </w:rPr>
    </w:tblStylePr>
  </w:style>
  <w:style w:type="table" w:styleId="PlainTable5">
    <w:name w:val="Plain Table 5"/>
    <w:basedOn w:val="TableNormal"/>
    <w:uiPriority w:val="45"/>
    <w:rsid w:val="004A0DFE"/>
    <w:tblPr>
      <w:tblStyleRowBandSize w:val="1"/>
      <w:tblStyleColBandSize w:val="1"/>
    </w:tblPr>
    <w:tcPr>
      <w:tcBorders>
        <w:right w:val="single" w:sz="4" w:space="0" w:color="7F7F7F" w:themeColor="text1" w:themeTint="80"/>
      </w:tcBorders>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tcBorders>
        <w:right w:val="single" w:sz="6" w:space="0" w:color="808080"/>
      </w:tcBorders>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tcBorders>
        <w:bottom w:val="single" w:sz="6" w:space="0" w:color="FFFFFF"/>
        <w:right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cPr>
      <w:tcBorders>
        <w:bottom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StylePr>
    <w:tblStylePr w:type="band2Vert">
      <w:rPr>
        <w:color w:val="auto"/>
      </w:rPr>
      <w:tblPr/>
      <w:tcPr>
        <w:shd w:val="pct50" w:color="C0C0C0" w:fill="FFFFFF"/>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cPr>
      <w:tcBorders>
        <w:top w:val="single" w:sz="6" w:space="0" w:color="000000"/>
        <w:right w:val="single" w:sz="6" w:space="0" w:color="000000"/>
      </w:tcBorders>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cPr>
      <w:tcBorders>
        <w:top w:val="single" w:sz="12" w:space="0" w:color="000000"/>
      </w:tcBorders>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StylePr>
    <w:tblStylePr w:type="firstCol">
      <w:rPr>
        <w:b/>
        <w:bCs/>
        <w:color w:val="000000"/>
      </w:rPr>
    </w:tblStylePr>
  </w:style>
  <w:style w:type="table" w:styleId="TableClassic4">
    <w:name w:val="Table Classic 4"/>
    <w:basedOn w:val="TableNormal"/>
    <w:semiHidden/>
    <w:unhideWhenUsed/>
    <w:rsid w:val="004A0DFE"/>
    <w:pPr>
      <w:spacing w:after="120" w:line="240" w:lineRule="atLeast"/>
    </w:pPr>
    <w:tblPr/>
    <w:tcPr>
      <w:tcBorders>
        <w:bottom w:val="single" w:sz="6" w:space="0" w:color="000000"/>
      </w:tcBorders>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StylePr>
    <w:tblStylePr w:type="firstCol">
      <w:rPr>
        <w:b/>
        <w:bCs/>
      </w:r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StylePr w:type="firstRow">
      <w:rPr>
        <w:b/>
        <w:bCs/>
        <w:i/>
        <w:iCs/>
      </w:rPr>
    </w:tblStylePr>
    <w:tblStylePr w:type="firstCol">
      <w:rPr>
        <w:b/>
        <w:bCs/>
        <w:i/>
        <w:iCs/>
      </w:rPr>
    </w:tblStylePr>
    <w:tblStylePr w:type="swCell">
      <w:rPr>
        <w:b/>
        <w:bCs/>
        <w:i w:val="0"/>
        <w:iCs w:val="0"/>
      </w:rPr>
    </w:tblStylePr>
  </w:style>
  <w:style w:type="table" w:styleId="TableColorful2">
    <w:name w:val="Table Colorful 2"/>
    <w:basedOn w:val="TableNormal"/>
    <w:semiHidden/>
    <w:unhideWhenUsed/>
    <w:rsid w:val="004A0DFE"/>
    <w:pPr>
      <w:spacing w:after="120" w:line="240" w:lineRule="atLeast"/>
    </w:pP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StylePr w:type="nwCell">
      <w:rPr>
        <w:b/>
        <w:bCs/>
        <w:color w:val="FFFFFF"/>
      </w:rPr>
    </w:tblStylePr>
  </w:style>
  <w:style w:type="table" w:styleId="TableColumns1">
    <w:name w:val="Table Columns 1"/>
    <w:basedOn w:val="TableNormal"/>
    <w:semiHidden/>
    <w:unhideWhenUsed/>
    <w:rsid w:val="004A0DFE"/>
    <w:pPr>
      <w:spacing w:after="120" w:line="240" w:lineRule="atLeast"/>
    </w:pPr>
    <w:rPr>
      <w:b/>
      <w:bCs/>
    </w:rPr>
    <w:tblPr>
      <w:tblStyleColBandSize w:val="1"/>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StylePr>
    <w:tblStylePr w:type="band1Vert">
      <w:rPr>
        <w:color w:val="auto"/>
      </w:rPr>
    </w:tblStylePr>
    <w:tblStylePr w:type="band2Vert">
      <w:rPr>
        <w:color w:val="auto"/>
      </w:r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cPr>
      <w:shd w:val="pct10" w:color="000000" w:fill="FFFFFF"/>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StylePr>
    <w:tblStylePr w:type="band1Vert">
      <w:rPr>
        <w:color w:val="auto"/>
      </w:rPr>
    </w:tblStylePr>
    <w:tblStylePr w:type="band2Vert">
      <w:rPr>
        <w:color w:val="auto"/>
      </w:rPr>
    </w:tblStylePr>
  </w:style>
  <w:style w:type="table" w:styleId="TableColumns5">
    <w:name w:val="Table Columns 5"/>
    <w:basedOn w:val="TableNormal"/>
    <w:semiHidden/>
    <w:unhideWhenUsed/>
    <w:rsid w:val="004A0DFE"/>
    <w:pPr>
      <w:spacing w:after="120" w:line="240" w:lineRule="atLeast"/>
    </w:pPr>
    <w:tblPr>
      <w:tblStyleColBandSize w:val="1"/>
    </w:tblPr>
    <w:tcPr>
      <w:shd w:val="solid" w:color="C0C0C0" w:fill="FFFFFF"/>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StylePr>
    <w:tblStylePr w:type="band1Vert">
      <w:rPr>
        <w:color w:val="auto"/>
      </w:r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Pr>
    <w:tcPr>
      <w:shd w:val="pct5" w:color="000000" w:fill="FFFFFF"/>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StylePr w:type="firstRow">
      <w:rPr>
        <w:caps/>
        <w:color w:val="auto"/>
      </w:rPr>
    </w:tblStylePr>
  </w:style>
  <w:style w:type="table" w:styleId="TableGrid1">
    <w:name w:val="Table Grid 1"/>
    <w:basedOn w:val="TableNormal"/>
    <w:semiHidden/>
    <w:unhideWhenUsed/>
    <w:rsid w:val="004A0DFE"/>
    <w:pPr>
      <w:spacing w:after="120" w:line="240" w:lineRule="atLeast"/>
    </w:pPr>
    <w:tblPr/>
    <w:tblStylePr w:type="lastRow">
      <w:rPr>
        <w:i/>
        <w:iCs/>
      </w:rPr>
    </w:tblStylePr>
    <w:tblStylePr w:type="lastCol">
      <w:rPr>
        <w:i/>
        <w:iCs/>
      </w:rPr>
    </w:tblStylePr>
  </w:style>
  <w:style w:type="table" w:styleId="TableGrid2">
    <w:name w:val="Table Grid 2"/>
    <w:basedOn w:val="TableNormal"/>
    <w:semiHidden/>
    <w:unhideWhenUsed/>
    <w:rsid w:val="004A0DFE"/>
    <w:pPr>
      <w:spacing w:after="120" w:line="240" w:lineRule="atLeast"/>
    </w:pP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StylePr>
    <w:tblStylePr w:type="lastCol">
      <w:rPr>
        <w:b/>
        <w:bCs/>
      </w:rPr>
    </w:tblStylePr>
  </w:style>
  <w:style w:type="table" w:styleId="TableGrid3">
    <w:name w:val="Table Grid 3"/>
    <w:basedOn w:val="TableNormal"/>
    <w:semiHidden/>
    <w:unhideWhenUsed/>
    <w:rsid w:val="004A0DFE"/>
    <w:pPr>
      <w:spacing w:after="120" w:line="240" w:lineRule="atLeast"/>
    </w:pP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StylePr>
  </w:style>
  <w:style w:type="table" w:styleId="TableGrid4">
    <w:name w:val="Table Grid 4"/>
    <w:basedOn w:val="TableNormal"/>
    <w:semiHidden/>
    <w:unhideWhenUsed/>
    <w:rsid w:val="004A0DFE"/>
    <w:pPr>
      <w:spacing w:after="120" w:line="240" w:lineRule="atLeast"/>
    </w:pPr>
    <w:tblPr/>
    <w:tcPr>
      <w:tcBorders>
        <w:top w:val="single" w:sz="6" w:space="0" w:color="000000"/>
      </w:tcBorders>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StylePr>
    <w:tblStylePr w:type="lastCol">
      <w:rPr>
        <w:b/>
        <w:bCs/>
        <w:color w:val="auto"/>
      </w:rPr>
    </w:tblStylePr>
  </w:style>
  <w:style w:type="table" w:styleId="TableGrid5">
    <w:name w:val="Table Grid 5"/>
    <w:basedOn w:val="TableNormal"/>
    <w:semiHidden/>
    <w:unhideWhenUsed/>
    <w:rsid w:val="004A0DFE"/>
    <w:pPr>
      <w:spacing w:after="120" w:line="240" w:lineRule="atLeast"/>
    </w:pP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StylePr>
    <w:tblStylePr w:type="lastCol">
      <w:rPr>
        <w:b/>
        <w:bCs/>
      </w:r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StylePr>
  </w:style>
  <w:style w:type="table" w:styleId="TableGridLight">
    <w:name w:val="Grid Table Light"/>
    <w:basedOn w:val="TableNormal"/>
    <w:uiPriority w:val="40"/>
    <w:rsid w:val="004A0DFE"/>
    <w:tblPr/>
  </w:style>
  <w:style w:type="table" w:styleId="TableList1">
    <w:name w:val="Table List 1"/>
    <w:basedOn w:val="TableNormal"/>
    <w:semiHidden/>
    <w:unhideWhenUsed/>
    <w:rsid w:val="004A0DFE"/>
    <w:pPr>
      <w:spacing w:after="120" w:line="240" w:lineRule="atLeast"/>
    </w:pPr>
    <w:tblPr>
      <w:tblStyleRowBandSize w:val="1"/>
    </w:tblPr>
    <w:tcPr>
      <w:shd w:val="solid" w:color="C0C0C0" w:fill="FFFFFF"/>
    </w:tc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Pr>
    <w:tcPr>
      <w:shd w:val="pct20" w:color="00FF00" w:fill="FFFFFF"/>
    </w:tc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StylePr w:type="firstRow">
      <w:rPr>
        <w:b/>
        <w:bCs/>
        <w:color w:val="FFFFFF"/>
      </w:rPr>
    </w:tblStylePr>
  </w:style>
  <w:style w:type="table" w:styleId="TableList5">
    <w:name w:val="Table List 5"/>
    <w:basedOn w:val="TableNormal"/>
    <w:semiHidden/>
    <w:unhideWhenUsed/>
    <w:rsid w:val="004A0DFE"/>
    <w:pPr>
      <w:spacing w:after="120" w:line="240" w:lineRule="atLeast"/>
    </w:pPr>
    <w:tblPr/>
    <w:tcPr>
      <w:tcBorders>
        <w:bottom w:val="single" w:sz="12" w:space="0" w:color="000000"/>
      </w:tcBorders>
      <w:shd w:val="clear" w:color="auto" w:fill="auto"/>
    </w:tcPr>
    <w:tblStylePr w:type="firstRow">
      <w:rPr>
        <w:b/>
        <w:bCs/>
      </w:rPr>
    </w:tblStylePr>
    <w:tblStylePr w:type="firstCol">
      <w:rPr>
        <w:b/>
        <w:bCs/>
      </w:rPr>
    </w:tblStylePr>
  </w:style>
  <w:style w:type="table" w:styleId="TableList6">
    <w:name w:val="Table List 6"/>
    <w:basedOn w:val="TableNormal"/>
    <w:semiHidden/>
    <w:unhideWhenUsed/>
    <w:rsid w:val="004A0DFE"/>
    <w:pPr>
      <w:spacing w:after="120" w:line="240" w:lineRule="atLeast"/>
    </w:pPr>
    <w:tblPr>
      <w:tblStyleRowBandSize w:val="1"/>
    </w:tblPr>
    <w:tcPr>
      <w:tcBorders>
        <w:right w:val="single" w:sz="12" w:space="0" w:color="000000"/>
      </w:tcBorders>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StylePr>
  </w:style>
  <w:style w:type="table" w:styleId="TableList7">
    <w:name w:val="Table List 7"/>
    <w:basedOn w:val="TableNormal"/>
    <w:semiHidden/>
    <w:unhideWhenUsed/>
    <w:rsid w:val="004A0DFE"/>
    <w:pPr>
      <w:spacing w:after="120" w:line="240" w:lineRule="atLeast"/>
    </w:pPr>
    <w:tblPr>
      <w:tblStyleRowBandSize w:val="1"/>
    </w:tblPr>
    <w:tcPr>
      <w:shd w:val="pct20" w:color="000000" w:fill="FFFFFF"/>
    </w:tc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StylePr>
  </w:style>
  <w:style w:type="table" w:styleId="TableList8">
    <w:name w:val="Table List 8"/>
    <w:basedOn w:val="TableNormal"/>
    <w:semiHidden/>
    <w:unhideWhenUsed/>
    <w:rsid w:val="004A0DFE"/>
    <w:pPr>
      <w:spacing w:after="120" w:line="240" w:lineRule="atLeast"/>
    </w:pPr>
    <w:tblPr>
      <w:tblStyleRowBandSize w:val="1"/>
    </w:tblPr>
    <w:tcPr>
      <w:shd w:val="pct25" w:color="FFFF00" w:fill="FFFFFF"/>
    </w:tc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ind w:left="180" w:hanging="180"/>
    </w:pPr>
  </w:style>
  <w:style w:type="paragraph" w:styleId="TableofFigures">
    <w:name w:val="table of figures"/>
    <w:basedOn w:val="Normal"/>
    <w:next w:val="Normal"/>
    <w:semiHidden/>
    <w:unhideWhenUsed/>
    <w:rsid w:val="004A0DFE"/>
  </w:style>
  <w:style w:type="table" w:styleId="TableProfessional">
    <w:name w:val="Table Professional"/>
    <w:basedOn w:val="TableNormal"/>
    <w:semiHidden/>
    <w:unhideWhenUsed/>
    <w:rsid w:val="004A0DFE"/>
    <w:pPr>
      <w:spacing w:after="120" w:line="240" w:lineRule="atLeast"/>
    </w:pPr>
    <w:tblPr/>
    <w:tcPr>
      <w:shd w:val="clear" w:color="auto" w:fill="auto"/>
    </w:tcPr>
    <w:tblStylePr w:type="firstRow">
      <w:rPr>
        <w:b/>
        <w:bCs/>
        <w:color w:val="auto"/>
      </w:rPr>
    </w:tblStylePr>
  </w:style>
  <w:style w:type="table" w:styleId="TableSimple1">
    <w:name w:val="Table Simple 1"/>
    <w:basedOn w:val="TableNormal"/>
    <w:semiHidden/>
    <w:unhideWhenUsed/>
    <w:rsid w:val="004A0DFE"/>
    <w:pPr>
      <w:spacing w:after="120" w:line="240" w:lineRule="atLeast"/>
    </w:pP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StylePr>
    <w:tblStylePr w:type="firstCol">
      <w:rPr>
        <w:b/>
        <w:bCs/>
      </w:rPr>
    </w:tblStylePr>
    <w:tblStylePr w:type="lastCol">
      <w:rPr>
        <w:b/>
        <w:bCs/>
      </w:r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cPr>
      <w:tcBorders>
        <w:bottom w:val="single" w:sz="6" w:space="0" w:color="000000"/>
      </w:tcBorders>
      <w:shd w:val="pct25" w:color="808000" w:fill="FFFFFF"/>
    </w:tc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cPr>
      <w:tcBorders>
        <w:left w:val="single" w:sz="12" w:space="0" w:color="000000"/>
        <w:right w:val="single" w:sz="12" w:space="0" w:color="000000"/>
      </w:tcBorders>
      <w:shd w:val="pct25" w:color="808000" w:fill="FFFFFF"/>
    </w:tc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style>
  <w:style w:type="table" w:styleId="TableWeb1">
    <w:name w:val="Table Web 1"/>
    <w:basedOn w:val="TableNormal"/>
    <w:semiHidden/>
    <w:unhideWhenUsed/>
    <w:rsid w:val="004A0DFE"/>
    <w:pPr>
      <w:spacing w:after="120" w:line="240" w:lineRule="atLeast"/>
    </w:pPr>
    <w:tblPr/>
    <w:tblStylePr w:type="firstRow">
      <w:rPr>
        <w:color w:val="auto"/>
      </w:rPr>
    </w:tblStylePr>
  </w:style>
  <w:style w:type="table" w:styleId="TableWeb2">
    <w:name w:val="Table Web 2"/>
    <w:basedOn w:val="TableNormal"/>
    <w:semiHidden/>
    <w:unhideWhenUsed/>
    <w:rsid w:val="004A0DFE"/>
    <w:pPr>
      <w:spacing w:after="120" w:line="240" w:lineRule="atLeast"/>
    </w:pPr>
    <w:tblPr/>
    <w:tblStylePr w:type="firstRow">
      <w:rPr>
        <w:color w:val="auto"/>
      </w:rPr>
    </w:tblStylePr>
  </w:style>
  <w:style w:type="table" w:styleId="TableWeb3">
    <w:name w:val="Table Web 3"/>
    <w:basedOn w:val="TableNormal"/>
    <w:semiHidden/>
    <w:unhideWhenUsed/>
    <w:rsid w:val="004A0DFE"/>
    <w:pPr>
      <w:spacing w:after="120" w:line="240" w:lineRule="atLeast"/>
    </w:pPr>
    <w:tblPr/>
    <w:tblStylePr w:type="firstRow">
      <w:rPr>
        <w:color w:val="auto"/>
      </w:r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4A0DFE"/>
    <w:pPr>
      <w:keepLines/>
      <w:spacing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jc w:val="both"/>
    </w:pPr>
    <w:rPr>
      <w:rFonts w:cs="Times New Roman"/>
      <w:sz w:val="22"/>
      <w:szCs w:val="24"/>
    </w:rPr>
  </w:style>
  <w:style w:type="character" w:customStyle="1" w:styleId="ListParagraphChar">
    <w:name w:val="List Paragraph Char"/>
    <w:link w:val="ListParagraph"/>
    <w:uiPriority w:val="34"/>
    <w:qFormat/>
    <w:locked/>
    <w:rsid w:val="00117936"/>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31914250493786b7fa9c5406bb22620f">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282fb838c3dab444c2810c32ae0a7f7c"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191FBA0C-13B8-4DC5-8AA0-B9A30DB8A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4.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 ds:uri="http://www.w3.org/XML/1998/namespace"/>
    <ds:schemaRef ds:uri="http://purl.org/dc/terms/"/>
    <ds:schemaRef ds:uri="c2d9b97a-c637-426a-b193-bfdf938e1ab3"/>
    <ds:schemaRef ds:uri="http://schemas.microsoft.com/office/2006/documentManagement/types"/>
    <ds:schemaRef ds:uri="http://purl.org/dc/dcmitype/"/>
    <ds:schemaRef ds:uri="2cde421d-8dd3-4443-8604-e0f973ea2b48"/>
    <ds:schemaRef ds:uri="http://schemas.openxmlformats.org/package/2006/metadata/core-properties"/>
    <ds:schemaRef ds:uri="9c46a28d-acc8-4027-86ce-a8901ee39950"/>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Letter_GTSL.dotm</Template>
  <TotalTime>13</TotalTime>
  <Pages>4</Pages>
  <Words>1097</Words>
  <Characters>6361</Characters>
  <Application>Microsoft Office Word</Application>
  <DocSecurity>0</DocSecurity>
  <Lines>127</Lines>
  <Paragraphs>28</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Pornarin Jarudech</cp:lastModifiedBy>
  <cp:revision>58</cp:revision>
  <cp:lastPrinted>2024-11-09T18:10:00Z</cp:lastPrinted>
  <dcterms:created xsi:type="dcterms:W3CDTF">2025-11-12T18:34:00Z</dcterms:created>
  <dcterms:modified xsi:type="dcterms:W3CDTF">2025-11-14T14:08:00Z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0x010100E222D6EB6211D84499C632DF07FA977E</vt:lpwstr>
  </property>
  <property fmtid="{D5CDD505-2E9C-101B-9397-08002B2CF9AE}" pid="4" name="MediaServiceImageTags">
    <vt:lpwstr/>
  </property>
</Properties>
</file>