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90C761A" w:rsidR="00DB308D" w:rsidRPr="008541C2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202FB438" w14:textId="77777777" w:rsidR="00DD1E47" w:rsidRDefault="00DD1E47" w:rsidP="006771E8">
      <w:pPr>
        <w:pStyle w:val="BodyText"/>
      </w:pPr>
    </w:p>
    <w:p w14:paraId="61217FCA" w14:textId="77777777" w:rsidR="00D15EA5" w:rsidRDefault="006F1B19" w:rsidP="00D15EA5">
      <w:pPr>
        <w:pStyle w:val="BodyText"/>
      </w:pPr>
      <w:r w:rsidRPr="004A0DFE">
        <w:br w:type="textWrapping" w:clear="all"/>
      </w:r>
    </w:p>
    <w:p w14:paraId="5D30521B" w14:textId="77777777" w:rsidR="00D15EA5" w:rsidRDefault="00D15EA5" w:rsidP="00D15EA5">
      <w:pPr>
        <w:pStyle w:val="BodyText"/>
      </w:pPr>
    </w:p>
    <w:p w14:paraId="21CABAF7" w14:textId="2DBD24C9" w:rsidR="00D15EA5" w:rsidRDefault="00D15EA5" w:rsidP="00D15EA5">
      <w:pPr>
        <w:pStyle w:val="BodyText"/>
        <w:rPr>
          <w:rFonts w:cstheme="minorBidi"/>
          <w:lang w:bidi="th-TH"/>
        </w:rPr>
      </w:pPr>
    </w:p>
    <w:p w14:paraId="4C3909F0" w14:textId="77777777" w:rsidR="00063F41" w:rsidRPr="00D15EA5" w:rsidRDefault="00063F41" w:rsidP="00D15EA5">
      <w:pPr>
        <w:pStyle w:val="BodyText"/>
        <w:rPr>
          <w:rFonts w:cstheme="minorBidi"/>
          <w:cs/>
          <w:lang w:bidi="th-TH"/>
        </w:rPr>
      </w:pPr>
    </w:p>
    <w:p w14:paraId="0C143A34" w14:textId="77777777" w:rsidR="00FD44EE" w:rsidRDefault="00FD44EE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6772AF62" w14:textId="77777777" w:rsidR="00770C39" w:rsidRPr="00734BAB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val="en-US"/>
        </w:rPr>
      </w:pPr>
      <w:r w:rsidRPr="00734BAB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คณะกรรมการและผู้ถือหุ้นของบริษัท ทีทีซีแอล จำกัด </w:t>
      </w:r>
      <w:r w:rsidRPr="00734BAB">
        <w:rPr>
          <w:rFonts w:ascii="BrowalliaUPC" w:hAnsi="BrowalliaUPC" w:cs="BrowalliaUPC"/>
          <w:b/>
          <w:bCs/>
          <w:sz w:val="28"/>
          <w:szCs w:val="28"/>
          <w:rtl/>
          <w:cs/>
        </w:rPr>
        <w:t>(</w:t>
      </w:r>
      <w:r w:rsidRPr="00734BAB">
        <w:rPr>
          <w:rFonts w:ascii="BrowalliaUPC" w:hAnsi="BrowalliaUPC" w:cs="BrowalliaUPC"/>
          <w:b/>
          <w:bCs/>
          <w:sz w:val="28"/>
          <w:szCs w:val="28"/>
          <w:rtl/>
          <w:cs/>
          <w:lang w:bidi="th-TH"/>
        </w:rPr>
        <w:t>มหาชน</w:t>
      </w:r>
      <w:r w:rsidRPr="00734BAB">
        <w:rPr>
          <w:rFonts w:ascii="BrowalliaUPC" w:hAnsi="BrowalliaUPC" w:cs="BrowalliaUPC"/>
          <w:b/>
          <w:bCs/>
          <w:sz w:val="28"/>
          <w:szCs w:val="28"/>
          <w:rtl/>
          <w:cs/>
        </w:rPr>
        <w:t>)</w:t>
      </w:r>
    </w:p>
    <w:p w14:paraId="35BF2163" w14:textId="77777777" w:rsidR="00770C39" w:rsidRPr="00734BAB" w:rsidRDefault="00770C39" w:rsidP="00770C39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0070A431" w14:textId="0B5F1DCE" w:rsidR="00770C39" w:rsidRPr="00734BAB" w:rsidRDefault="00770C39" w:rsidP="00770C39">
      <w:pPr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ข้าพเจ้าได้สอบทานข้อมูลทางการเงินรวมและเฉพาะบริษัทระหว่างกาลของบริษัท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ที</w:t>
      </w:r>
      <w:bookmarkStart w:id="1" w:name="_Hlk71766838"/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ทีซีแอล</w:t>
      </w:r>
      <w:bookmarkEnd w:id="1"/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 </w:t>
      </w:r>
      <w:r w:rsidR="00EF3422">
        <w:rPr>
          <w:rFonts w:ascii="BrowalliaUPC" w:hAnsi="BrowalliaUPC" w:cs="BrowalliaUPC"/>
          <w:sz w:val="28"/>
          <w:szCs w:val="28"/>
          <w:lang w:bidi="th-TH"/>
        </w:rPr>
        <w:t>(</w:t>
      </w:r>
      <w:r w:rsidR="00EF3422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="00EF3422">
        <w:rPr>
          <w:rFonts w:ascii="BrowalliaUPC" w:hAnsi="BrowalliaUPC" w:cs="BrowalliaUPC"/>
          <w:sz w:val="28"/>
          <w:szCs w:val="28"/>
          <w:lang w:val="en-US" w:bidi="th-TH"/>
        </w:rPr>
        <w:t>)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 และบริษัทย่อย (กลุ่มบริษัท) ซึ่งประกอบด้วย งบฐานะการเงินรวมและเฉพาะบริษัท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30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กันยายน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 2568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งบกำไรขาดทุนเบ็ดเสร็จรวมและเฉพาะบริษัทสำหรับงวดสามเดือนและเก้าเดือนสิ้นสุดวันที่เดียวกัน งบการเปลี่ยนแปลงส่วนของเจ้าของรวมและเฉพาะบริษัท รวมถึงงบ</w:t>
      </w:r>
      <w:bookmarkStart w:id="2" w:name="_Hlk213861712"/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กระแสเงินสดรวมและเฉพาะบริษัท</w:t>
      </w:r>
      <w:bookmarkEnd w:id="2"/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สำหรับงวดเก้าเดือนสิ้นสุดวันเดียวกัน และหมายเหตุประกอบข้อมูลทางการเงินระหว่างกาลแบบย่อ 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 ฉบับที่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7C579B60" w14:textId="77777777" w:rsidR="00770C39" w:rsidRPr="00734BAB" w:rsidRDefault="00770C39" w:rsidP="00770C39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47F0BF31" w14:textId="77777777" w:rsidR="00770C39" w:rsidRPr="00734BAB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  <w:lang w:val="en-US"/>
        </w:rPr>
      </w:pPr>
      <w:r w:rsidRPr="00734BAB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79E38FD7" w14:textId="77777777" w:rsidR="00770C39" w:rsidRPr="00734BAB" w:rsidRDefault="00770C39" w:rsidP="00770C39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2A123187" w14:textId="77777777" w:rsidR="00770C39" w:rsidRPr="00734BAB" w:rsidRDefault="00770C39" w:rsidP="00770C39">
      <w:pPr>
        <w:jc w:val="thaiDistribute"/>
        <w:rPr>
          <w:rFonts w:ascii="BrowalliaUPC" w:hAnsi="BrowalliaUPC" w:cs="BrowalliaUPC"/>
          <w:sz w:val="28"/>
          <w:szCs w:val="28"/>
          <w:lang w:val="en-US"/>
        </w:rPr>
      </w:pP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>2410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 “การสอบทานข้อมูลทางการเงิน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br/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ระหว่างกาลโดยผู้สอบบัญชีรับอนุญาตของบริษัท”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1702DCCA" w14:textId="77777777" w:rsidR="00770C39" w:rsidRPr="00734BAB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</w:p>
    <w:p w14:paraId="63DCF591" w14:textId="77777777" w:rsidR="00770C39" w:rsidRPr="00734BAB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  <w:r w:rsidRPr="00734BAB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br w:type="page"/>
      </w:r>
    </w:p>
    <w:p w14:paraId="2EC5A0C1" w14:textId="21AE49D1" w:rsidR="00770C39" w:rsidRPr="00734BAB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734BAB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เกณฑ์ในการไม่ให้ข้อสรุป</w:t>
      </w:r>
    </w:p>
    <w:p w14:paraId="6EB4E739" w14:textId="77777777" w:rsidR="00770C39" w:rsidRPr="00734BAB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  <w:cs/>
        </w:rPr>
      </w:pPr>
    </w:p>
    <w:p w14:paraId="2D17711E" w14:textId="77777777" w:rsidR="00770C39" w:rsidRPr="00734BAB" w:rsidRDefault="00770C39" w:rsidP="00770C39">
      <w:pPr>
        <w:spacing w:line="400" w:lineRule="exact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เนื่องจากข้าพเจ้าได้พิจารณาสถานการณ์ที่มีความไม่แน่นอน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ซึ่งส่งผลกระทบต่อการดำเนินงานของกลุ่มบริษัทและบริษัท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ดังต่อไปนี้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</w:p>
    <w:p w14:paraId="775B45AA" w14:textId="77777777" w:rsidR="00770C39" w:rsidRPr="00734BAB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38C8CB0" w14:textId="77777777" w:rsidR="00770C39" w:rsidRPr="00734BAB" w:rsidRDefault="00770C39" w:rsidP="00770C39">
      <w:pPr>
        <w:pStyle w:val="ListParagraph"/>
        <w:numPr>
          <w:ilvl w:val="0"/>
          <w:numId w:val="35"/>
        </w:num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cs/>
        </w:rPr>
      </w:pP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การขาดสภาพคล่องทางการเงินและการผิดนัดชำระหนี้</w:t>
      </w:r>
    </w:p>
    <w:p w14:paraId="41FDEE37" w14:textId="77777777" w:rsidR="00770C39" w:rsidRPr="00734BAB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230F2A3F" w14:textId="2AB967DF" w:rsidR="00A81AFE" w:rsidRDefault="00A81AFE" w:rsidP="00452033">
      <w:pPr>
        <w:spacing w:after="0" w:line="240" w:lineRule="auto"/>
        <w:ind w:left="720" w:hanging="11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A81AFE">
        <w:rPr>
          <w:rFonts w:ascii="BrowalliaUPC" w:hAnsi="BrowalliaUPC" w:cs="BrowalliaUPC"/>
          <w:sz w:val="28"/>
          <w:szCs w:val="28"/>
          <w:cs/>
          <w:lang w:bidi="th-TH"/>
        </w:rPr>
        <w:t xml:space="preserve">ตามที่กล่าวในหมายเหตุประกอบงบการเงินข้อ </w:t>
      </w:r>
      <w:r w:rsidRPr="00A81AFE">
        <w:rPr>
          <w:rFonts w:ascii="BrowalliaUPC" w:hAnsi="BrowalliaUPC" w:cs="BrowalliaUPC"/>
          <w:sz w:val="28"/>
          <w:szCs w:val="28"/>
          <w:lang w:bidi="th-TH"/>
        </w:rPr>
        <w:t xml:space="preserve">27 </w:t>
      </w:r>
      <w:r w:rsidRPr="00A81AFE">
        <w:rPr>
          <w:rFonts w:ascii="BrowalliaUPC" w:hAnsi="BrowalliaUPC" w:cs="BrowalliaUPC"/>
          <w:sz w:val="28"/>
          <w:szCs w:val="28"/>
          <w:cs/>
          <w:lang w:bidi="th-TH"/>
        </w:rPr>
        <w:t>ซึ่งระบุว่า เนื่องจากบริษัทได้ทำการบอกเลิกและได้ทำการฟ้องร้องเจ้าของโครงการก่อสร้างเพื่อการพัฒนาเชื้อเพลิงอย่างยั่งยืนในประเทศ</w:t>
      </w:r>
      <w:r w:rsidRPr="00A81AFE">
        <w:rPr>
          <w:rFonts w:ascii="BrowalliaUPC" w:hAnsi="BrowalliaUPC" w:cs="BrowalliaUPC"/>
          <w:sz w:val="28"/>
          <w:szCs w:val="28"/>
          <w:lang w:bidi="th-TH"/>
        </w:rPr>
        <w:t> </w:t>
      </w:r>
      <w:r w:rsidRPr="00A81AFE">
        <w:rPr>
          <w:rFonts w:ascii="BrowalliaUPC" w:hAnsi="BrowalliaUPC" w:cs="BrowalliaUPC"/>
          <w:sz w:val="28"/>
          <w:szCs w:val="28"/>
          <w:cs/>
          <w:lang w:bidi="th-TH"/>
        </w:rPr>
        <w:t>จำนวน</w:t>
      </w:r>
      <w:r w:rsidRPr="00A81AFE">
        <w:rPr>
          <w:rFonts w:ascii="BrowalliaUPC" w:hAnsi="BrowalliaUPC" w:cs="BrowalliaUPC"/>
          <w:sz w:val="28"/>
          <w:szCs w:val="28"/>
          <w:lang w:bidi="th-TH"/>
        </w:rPr>
        <w:t xml:space="preserve"> 3 </w:t>
      </w:r>
      <w:r w:rsidRPr="00A81AFE">
        <w:rPr>
          <w:rFonts w:ascii="BrowalliaUPC" w:hAnsi="BrowalliaUPC" w:cs="BrowalliaUPC"/>
          <w:sz w:val="28"/>
          <w:szCs w:val="28"/>
          <w:cs/>
          <w:lang w:bidi="th-TH"/>
        </w:rPr>
        <w:t>โครงการ</w:t>
      </w:r>
      <w:r w:rsidRPr="00A81AFE">
        <w:rPr>
          <w:rFonts w:ascii="BrowalliaUPC" w:hAnsi="BrowalliaUPC" w:cs="BrowalliaUPC"/>
          <w:sz w:val="28"/>
          <w:szCs w:val="28"/>
          <w:lang w:bidi="th-TH"/>
        </w:rPr>
        <w:t> </w:t>
      </w:r>
      <w:r w:rsidRPr="00A81AFE">
        <w:rPr>
          <w:rFonts w:ascii="BrowalliaUPC" w:hAnsi="BrowalliaUPC" w:cs="BrowalliaUPC"/>
          <w:sz w:val="28"/>
          <w:szCs w:val="28"/>
          <w:cs/>
          <w:lang w:bidi="th-TH"/>
        </w:rPr>
        <w:t xml:space="preserve">โดยเหตุการณ์ดังกล่าวมีผลต่อสภาพคล่องทางการเงินและการผิดนัดชำระหนี้ของบริษัท 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>ส่งผลทำให้</w:t>
      </w:r>
      <w:r w:rsidR="003C440A" w:rsidRPr="00C03900">
        <w:rPr>
          <w:rFonts w:ascii="BrowalliaUPC" w:hAnsi="BrowalliaUPC" w:cs="BrowalliaUPC"/>
          <w:sz w:val="28"/>
          <w:szCs w:val="28"/>
          <w:cs/>
          <w:lang w:bidi="th-TH"/>
        </w:rPr>
        <w:t>กลุ่มบริษัท</w:t>
      </w:r>
      <w:r w:rsidR="003C440A" w:rsidRPr="00C03900">
        <w:rPr>
          <w:rFonts w:ascii="BrowalliaUPC" w:hAnsi="BrowalliaUPC" w:cs="BrowalliaUPC" w:hint="cs"/>
          <w:sz w:val="28"/>
          <w:szCs w:val="28"/>
          <w:cs/>
          <w:lang w:bidi="th-TH"/>
        </w:rPr>
        <w:t>และบริษัท</w:t>
      </w:r>
      <w:r w:rsidR="003C440A" w:rsidRPr="00C03900">
        <w:rPr>
          <w:rFonts w:ascii="BrowalliaUPC" w:hAnsi="BrowalliaUPC" w:cs="BrowalliaUPC"/>
          <w:sz w:val="28"/>
          <w:szCs w:val="28"/>
          <w:cs/>
          <w:lang w:bidi="th-TH"/>
        </w:rPr>
        <w:t>มีขาดทุนหลังภาษี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>สำหรับงวดสามเดือน</w:t>
      </w:r>
      <w:r w:rsidR="00452033" w:rsidRPr="00C03900">
        <w:rPr>
          <w:rFonts w:ascii="BrowalliaUPC" w:hAnsi="BrowalliaUPC" w:cs="BrowalliaUPC"/>
          <w:sz w:val="28"/>
          <w:szCs w:val="28"/>
          <w:cs/>
          <w:lang w:bidi="th-TH"/>
        </w:rPr>
        <w:t>สิ้นสุดวันที่</w:t>
      </w:r>
      <w:r w:rsidR="003C440A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452033" w:rsidRPr="00C03900">
        <w:rPr>
          <w:rFonts w:ascii="BrowalliaUPC" w:hAnsi="BrowalliaUPC" w:cs="BrowalliaUPC"/>
          <w:sz w:val="28"/>
          <w:szCs w:val="28"/>
          <w:lang w:bidi="th-TH"/>
        </w:rPr>
        <w:t>30 </w:t>
      </w:r>
      <w:r w:rsidR="00452033" w:rsidRPr="00C03900">
        <w:rPr>
          <w:rFonts w:ascii="BrowalliaUPC" w:hAnsi="BrowalliaUPC" w:cs="BrowalliaUPC"/>
          <w:sz w:val="28"/>
          <w:szCs w:val="28"/>
          <w:cs/>
          <w:lang w:bidi="th-TH"/>
        </w:rPr>
        <w:t>กันยายน</w:t>
      </w:r>
      <w:r w:rsidR="00452033" w:rsidRPr="00C03900">
        <w:rPr>
          <w:rFonts w:ascii="BrowalliaUPC" w:hAnsi="BrowalliaUPC" w:cs="BrowalliaUPC"/>
          <w:sz w:val="28"/>
          <w:szCs w:val="28"/>
          <w:lang w:bidi="th-TH"/>
        </w:rPr>
        <w:t> 2568 </w:t>
      </w:r>
      <w:r w:rsidR="00452033" w:rsidRPr="00C03900">
        <w:rPr>
          <w:rFonts w:ascii="BrowalliaUPC" w:hAnsi="BrowalliaUPC" w:cs="BrowalliaUPC"/>
          <w:sz w:val="28"/>
          <w:szCs w:val="28"/>
          <w:cs/>
          <w:lang w:bidi="th-TH"/>
        </w:rPr>
        <w:t xml:space="preserve">จำนวน </w:t>
      </w:r>
      <w:r w:rsidR="00C23A4C">
        <w:rPr>
          <w:rFonts w:ascii="BrowalliaUPC" w:hAnsi="BrowalliaUPC" w:cs="BrowalliaUPC"/>
          <w:sz w:val="28"/>
          <w:szCs w:val="28"/>
          <w:lang w:bidi="th-TH"/>
        </w:rPr>
        <w:t>2,927.35</w:t>
      </w:r>
      <w:r w:rsidR="00452033" w:rsidRPr="00C03900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452033" w:rsidRPr="00C03900">
        <w:rPr>
          <w:rFonts w:ascii="BrowalliaUPC" w:hAnsi="BrowalliaUPC" w:cs="BrowalliaUPC"/>
          <w:sz w:val="28"/>
          <w:szCs w:val="28"/>
          <w:cs/>
          <w:lang w:bidi="th-TH"/>
        </w:rPr>
        <w:t xml:space="preserve">ล้านบาท และ </w:t>
      </w:r>
      <w:r w:rsidR="00C60E77">
        <w:rPr>
          <w:rFonts w:ascii="BrowalliaUPC" w:hAnsi="BrowalliaUPC" w:cs="BrowalliaUPC"/>
          <w:sz w:val="28"/>
          <w:szCs w:val="28"/>
          <w:lang w:bidi="th-TH"/>
        </w:rPr>
        <w:t>2,881.49</w:t>
      </w:r>
      <w:r w:rsidR="00452033" w:rsidRPr="00C03900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452033" w:rsidRPr="00C03900">
        <w:rPr>
          <w:rFonts w:ascii="BrowalliaUPC" w:hAnsi="BrowalliaUPC" w:cs="BrowalliaUPC"/>
          <w:sz w:val="28"/>
          <w:szCs w:val="28"/>
          <w:cs/>
          <w:lang w:bidi="th-TH"/>
        </w:rPr>
        <w:t>ล้านบาท ตามลำดับ</w:t>
      </w:r>
      <w:r w:rsidR="00452033" w:rsidRPr="00C03900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F529CA" w:rsidRPr="00C03900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452033" w:rsidRPr="00C03900">
        <w:rPr>
          <w:rFonts w:ascii="BrowalliaUPC" w:hAnsi="BrowalliaUPC" w:cs="BrowalliaUPC"/>
          <w:sz w:val="28"/>
          <w:szCs w:val="28"/>
          <w:cs/>
          <w:lang w:bidi="th-TH"/>
        </w:rPr>
        <w:t>สำหรับงวด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 xml:space="preserve">เก้าเดือนสิ้นสุดวันที่ 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>30 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>กันยายน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> 2568 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>กลุ่มบริษัท</w:t>
      </w:r>
      <w:r w:rsidR="00452033" w:rsidRPr="00C03900">
        <w:rPr>
          <w:rFonts w:ascii="BrowalliaUPC" w:hAnsi="BrowalliaUPC" w:cs="BrowalliaUPC" w:hint="cs"/>
          <w:sz w:val="28"/>
          <w:szCs w:val="28"/>
          <w:cs/>
          <w:lang w:bidi="th-TH"/>
        </w:rPr>
        <w:t>และบริษัท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 xml:space="preserve">มีขาดทุนหลังภาษีจำนวน </w:t>
      </w:r>
      <w:r w:rsidR="00754D45" w:rsidRPr="00C03900">
        <w:rPr>
          <w:rFonts w:ascii="BrowalliaUPC" w:hAnsi="BrowalliaUPC" w:cs="BrowalliaUPC"/>
          <w:sz w:val="28"/>
          <w:szCs w:val="28"/>
          <w:lang w:bidi="th-TH"/>
        </w:rPr>
        <w:t>4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>,</w:t>
      </w:r>
      <w:r w:rsidR="00754D45" w:rsidRPr="00C03900">
        <w:rPr>
          <w:rFonts w:ascii="BrowalliaUPC" w:hAnsi="BrowalliaUPC" w:cs="BrowalliaUPC"/>
          <w:sz w:val="28"/>
          <w:szCs w:val="28"/>
          <w:lang w:bidi="th-TH"/>
        </w:rPr>
        <w:t>778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>.</w:t>
      </w:r>
      <w:r w:rsidR="00754D45" w:rsidRPr="00C03900">
        <w:rPr>
          <w:rFonts w:ascii="BrowalliaUPC" w:hAnsi="BrowalliaUPC" w:cs="BrowalliaUPC"/>
          <w:sz w:val="28"/>
          <w:szCs w:val="28"/>
          <w:lang w:bidi="th-TH"/>
        </w:rPr>
        <w:t>40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 xml:space="preserve">ล้านบาท และ 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>4,</w:t>
      </w:r>
      <w:r w:rsidR="00754D45" w:rsidRPr="00C03900">
        <w:rPr>
          <w:rFonts w:ascii="BrowalliaUPC" w:hAnsi="BrowalliaUPC" w:cs="BrowalliaUPC"/>
          <w:sz w:val="28"/>
          <w:szCs w:val="28"/>
          <w:lang w:bidi="th-TH"/>
        </w:rPr>
        <w:t>713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>.</w:t>
      </w:r>
      <w:r w:rsidR="00754D45" w:rsidRPr="00C03900">
        <w:rPr>
          <w:rFonts w:ascii="BrowalliaUPC" w:hAnsi="BrowalliaUPC" w:cs="BrowalliaUPC"/>
          <w:sz w:val="28"/>
          <w:szCs w:val="28"/>
          <w:lang w:bidi="th-TH"/>
        </w:rPr>
        <w:t>32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 xml:space="preserve">ล้านบาท ตามลำดับ และมีกระแสเงินสดสุทธิติดลบจากการดำเนินงานในข้อมูลการเงินรวมและเฉพาะบริษัทจำนวน 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 xml:space="preserve">994.13 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>ล้านบาทและ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> 626.77 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 xml:space="preserve">ล้านบาท ตามลำดับ </w:t>
      </w:r>
      <w:r w:rsidR="00A700FF">
        <w:rPr>
          <w:rFonts w:ascii="BrowalliaUPC" w:hAnsi="BrowalliaUPC" w:cs="BrowalliaUPC"/>
          <w:sz w:val="28"/>
          <w:szCs w:val="28"/>
          <w:lang w:bidi="th-TH"/>
        </w:rPr>
        <w:t xml:space="preserve">      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>ณ วันที่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 xml:space="preserve"> 30 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>กันยายน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 xml:space="preserve"> 2568 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>กลุ่มบริษัทและบริษัทมีขาดทุนสะสมเกินทุนจำนวน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> 2,181.56 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>ล้านบาท และ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> 2,163.27 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 xml:space="preserve">ล้านบาท ตามลำดับ และกลุ่มบริษัทและบริษัทมีหนี้สินหมุนเวียนสูงกว่าสินทรัพย์หมุนเวียนอย่างมีนัยสำคัญจำนวน 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>7,003.22 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>ล้านบาท และจำนวน</w:t>
      </w:r>
      <w:r w:rsidRPr="00C03900">
        <w:rPr>
          <w:rFonts w:ascii="BrowalliaUPC" w:hAnsi="BrowalliaUPC" w:cs="BrowalliaUPC"/>
          <w:sz w:val="28"/>
          <w:szCs w:val="28"/>
          <w:lang w:bidi="th-TH"/>
        </w:rPr>
        <w:t xml:space="preserve"> 7,884.69 </w:t>
      </w:r>
      <w:r w:rsidRPr="00C03900">
        <w:rPr>
          <w:rFonts w:ascii="BrowalliaUPC" w:hAnsi="BrowalliaUPC" w:cs="BrowalliaUPC"/>
          <w:sz w:val="28"/>
          <w:szCs w:val="28"/>
          <w:cs/>
          <w:lang w:bidi="th-TH"/>
        </w:rPr>
        <w:t>ล้านบาท ตามลำดับ</w:t>
      </w:r>
      <w:r w:rsidR="00452033" w:rsidRPr="00C03900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452033" w:rsidRPr="00C03900">
        <w:rPr>
          <w:rFonts w:ascii="BrowalliaUPC" w:hAnsi="BrowalliaUPC" w:cs="BrowalliaUPC"/>
          <w:sz w:val="28"/>
          <w:szCs w:val="28"/>
          <w:cs/>
          <w:lang w:bidi="th-TH"/>
        </w:rPr>
        <w:t xml:space="preserve">ซึ่งหนี้สินหมุนเวียนส่วนใหญ่ประกอบด้วยเจ้าหนี้การค้าและเจ้าหนี้อื่น </w:t>
      </w:r>
      <w:r w:rsidR="00452033" w:rsidRPr="00C03900">
        <w:rPr>
          <w:rFonts w:ascii="BrowalliaUPC" w:hAnsi="BrowalliaUPC" w:cs="BrowalliaUPC" w:hint="cs"/>
          <w:sz w:val="28"/>
          <w:szCs w:val="28"/>
          <w:cs/>
          <w:lang w:bidi="th-TH"/>
        </w:rPr>
        <w:t>เจ้าหนี้</w:t>
      </w:r>
      <w:r w:rsidR="00452033" w:rsidRPr="00C03900">
        <w:rPr>
          <w:rFonts w:ascii="BrowalliaUPC" w:hAnsi="BrowalliaUPC" w:cs="BrowalliaUPC"/>
          <w:sz w:val="28"/>
          <w:szCs w:val="28"/>
          <w:cs/>
          <w:lang w:bidi="th-TH"/>
        </w:rPr>
        <w:t xml:space="preserve">หุ้นกู้ </w:t>
      </w:r>
      <w:r w:rsidR="00452033" w:rsidRPr="00C03900">
        <w:rPr>
          <w:rFonts w:ascii="BrowalliaUPC" w:hAnsi="BrowalliaUPC" w:cs="BrowalliaUPC" w:hint="cs"/>
          <w:sz w:val="28"/>
          <w:szCs w:val="28"/>
          <w:cs/>
          <w:lang w:bidi="th-TH"/>
        </w:rPr>
        <w:t>เจ้าหนี้ธนาคารจากหนังสือค้ำประกันและเงินกู้ยืมระยะสั้นจาก</w:t>
      </w:r>
      <w:r w:rsidR="00452033" w:rsidRPr="00C03900">
        <w:rPr>
          <w:rFonts w:ascii="BrowalliaUPC" w:hAnsi="BrowalliaUPC" w:cs="BrowalliaUPC"/>
          <w:sz w:val="28"/>
          <w:szCs w:val="28"/>
          <w:cs/>
          <w:lang w:bidi="th-TH"/>
        </w:rPr>
        <w:t xml:space="preserve">สถาบันการเงิน </w:t>
      </w:r>
      <w:r w:rsidR="00452033" w:rsidRPr="00C03900">
        <w:rPr>
          <w:rFonts w:ascii="BrowalliaUPC" w:hAnsi="BrowalliaUPC" w:cs="BrowalliaUPC" w:hint="cs"/>
          <w:sz w:val="28"/>
          <w:szCs w:val="28"/>
          <w:cs/>
          <w:lang w:bidi="th-TH"/>
        </w:rPr>
        <w:t>และหนี้สินอื่น</w:t>
      </w:r>
    </w:p>
    <w:p w14:paraId="4DCEC845" w14:textId="77777777" w:rsidR="00770C39" w:rsidRPr="00E561F0" w:rsidRDefault="00770C39" w:rsidP="00770C39">
      <w:pPr>
        <w:spacing w:after="0" w:line="240" w:lineRule="auto"/>
        <w:ind w:left="720" w:hanging="11"/>
        <w:jc w:val="thaiDistribute"/>
        <w:rPr>
          <w:rFonts w:ascii="BrowalliaUPC" w:hAnsi="BrowalliaUPC" w:cs="BrowalliaUPC"/>
          <w:sz w:val="28"/>
          <w:szCs w:val="28"/>
          <w:cs/>
          <w:lang w:bidi="th-TH"/>
        </w:rPr>
      </w:pPr>
    </w:p>
    <w:p w14:paraId="1AC6B56E" w14:textId="115081CF" w:rsidR="00770C39" w:rsidRPr="00734BAB" w:rsidRDefault="00770C39" w:rsidP="00770C39">
      <w:pPr>
        <w:spacing w:after="0" w:line="240" w:lineRule="auto"/>
        <w:ind w:left="720" w:hanging="11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1924BC">
        <w:rPr>
          <w:rFonts w:ascii="BrowalliaUPC" w:hAnsi="BrowalliaUPC" w:cs="BrowalliaUPC"/>
          <w:sz w:val="28"/>
          <w:szCs w:val="28"/>
          <w:cs/>
          <w:lang w:bidi="th-TH"/>
        </w:rPr>
        <w:t>ตามที่กล่าวในหมายเหตุประกอบงบการเงินข้อ</w:t>
      </w:r>
      <w:r w:rsidRPr="001924BC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1924BC">
        <w:rPr>
          <w:rFonts w:ascii="BrowalliaUPC" w:hAnsi="BrowalliaUPC" w:cs="BrowalliaUPC"/>
          <w:sz w:val="28"/>
          <w:szCs w:val="28"/>
          <w:lang w:val="en-US" w:bidi="th-TH"/>
        </w:rPr>
        <w:t xml:space="preserve">19 </w:t>
      </w:r>
      <w:r w:rsidRPr="001924BC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และ </w:t>
      </w:r>
      <w:r w:rsidRPr="001924BC">
        <w:rPr>
          <w:rFonts w:ascii="BrowalliaUPC" w:hAnsi="BrowalliaUPC" w:cs="BrowalliaUPC"/>
          <w:sz w:val="28"/>
          <w:szCs w:val="28"/>
          <w:lang w:val="en-US" w:bidi="th-TH"/>
        </w:rPr>
        <w:t xml:space="preserve">26 </w:t>
      </w:r>
      <w:r w:rsidRPr="001924BC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Pr="001924BC">
        <w:rPr>
          <w:rFonts w:ascii="BrowalliaUPC" w:hAnsi="BrowalliaUPC" w:cs="BrowalliaUPC"/>
          <w:sz w:val="28"/>
          <w:szCs w:val="28"/>
          <w:lang w:bidi="th-TH"/>
        </w:rPr>
        <w:t>3</w:t>
      </w:r>
      <w:r w:rsidRPr="001924BC">
        <w:rPr>
          <w:rFonts w:ascii="BrowalliaUPC" w:hAnsi="BrowalliaUPC" w:cs="BrowalliaUPC"/>
          <w:sz w:val="28"/>
          <w:szCs w:val="28"/>
          <w:lang w:val="en-US" w:bidi="th-TH"/>
        </w:rPr>
        <w:t xml:space="preserve">0 </w:t>
      </w:r>
      <w:r w:rsidRPr="001924BC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กันยายน </w:t>
      </w:r>
      <w:r w:rsidRPr="001924BC">
        <w:rPr>
          <w:rFonts w:ascii="BrowalliaUPC" w:hAnsi="BrowalliaUPC" w:cs="BrowalliaUPC"/>
          <w:sz w:val="28"/>
          <w:szCs w:val="28"/>
          <w:lang w:val="en-US" w:bidi="th-TH"/>
        </w:rPr>
        <w:t xml:space="preserve">2568 </w:t>
      </w:r>
      <w:r w:rsidRPr="001924BC">
        <w:rPr>
          <w:rFonts w:ascii="BrowalliaUPC" w:hAnsi="BrowalliaUPC" w:cs="BrowalliaUPC"/>
          <w:sz w:val="28"/>
          <w:szCs w:val="28"/>
          <w:cs/>
          <w:lang w:bidi="th-TH"/>
        </w:rPr>
        <w:t>บริษัท</w:t>
      </w:r>
      <w:r w:rsidRPr="001924BC">
        <w:rPr>
          <w:rFonts w:ascii="BrowalliaUPC" w:hAnsi="BrowalliaUPC" w:cs="BrowalliaUPC" w:hint="cs"/>
          <w:sz w:val="28"/>
          <w:szCs w:val="28"/>
          <w:cs/>
          <w:lang w:bidi="th-TH"/>
        </w:rPr>
        <w:t>ไม่ได้ปฏิบัติตาม</w:t>
      </w:r>
      <w:r w:rsidRPr="001924BC">
        <w:rPr>
          <w:rFonts w:ascii="BrowalliaUPC" w:hAnsi="BrowalliaUPC" w:cs="BrowalliaUPC"/>
          <w:sz w:val="28"/>
          <w:szCs w:val="28"/>
          <w:cs/>
          <w:lang w:bidi="th-TH"/>
        </w:rPr>
        <w:t>เงื่อนไขในสัญญาหุ้นกู้ในเรื่องการดำรงอัตราส่วนหนี้สินต่อส่วนของผู้ถือหุ้นซึ่งคำนวณจากงบการเงินรวม</w:t>
      </w:r>
      <w:r w:rsidRPr="001924BC">
        <w:rPr>
          <w:rFonts w:ascii="BrowalliaUPC" w:hAnsi="BrowalliaUPC" w:cs="BrowalliaUPC" w:hint="cs"/>
          <w:sz w:val="28"/>
          <w:szCs w:val="28"/>
          <w:cs/>
          <w:lang w:bidi="th-TH"/>
        </w:rPr>
        <w:t>และไม่สามารถขอผู้ถือหุ้น</w:t>
      </w:r>
      <w:r w:rsidRPr="00E561F0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กู้เลื่อนการชำระหุ้นกู้ตามกำหนดได้ </w:t>
      </w:r>
      <w:r w:rsidRPr="00E561F0">
        <w:rPr>
          <w:rFonts w:ascii="BrowalliaUPC" w:hAnsi="BrowalliaUPC" w:cs="BrowalliaUPC"/>
          <w:sz w:val="28"/>
          <w:szCs w:val="28"/>
          <w:cs/>
          <w:lang w:bidi="th-TH"/>
        </w:rPr>
        <w:t xml:space="preserve">เป็นจำนวน </w:t>
      </w:r>
      <w:r w:rsidRPr="00E561F0">
        <w:rPr>
          <w:rFonts w:ascii="BrowalliaUPC" w:hAnsi="BrowalliaUPC" w:cs="BrowalliaUPC"/>
          <w:sz w:val="28"/>
          <w:szCs w:val="28"/>
          <w:lang w:val="en-US" w:bidi="th-TH"/>
        </w:rPr>
        <w:t>2,544.40</w:t>
      </w:r>
      <w:r w:rsidRPr="00E561F0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E561F0">
        <w:rPr>
          <w:rFonts w:ascii="BrowalliaUPC" w:hAnsi="BrowalliaUPC" w:cs="BrowalliaUPC"/>
          <w:sz w:val="28"/>
          <w:szCs w:val="28"/>
          <w:cs/>
          <w:lang w:bidi="th-TH"/>
        </w:rPr>
        <w:t>ล้านบาท</w:t>
      </w:r>
      <w:r w:rsidRPr="00E561F0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E561F0">
        <w:rPr>
          <w:rFonts w:ascii="BrowalliaUPC" w:hAnsi="BrowalliaUPC" w:cs="BrowalliaUPC"/>
          <w:sz w:val="28"/>
          <w:szCs w:val="28"/>
          <w:cs/>
          <w:lang w:bidi="th-TH"/>
        </w:rPr>
        <w:t>สำหรับ</w:t>
      </w:r>
      <w:r w:rsidR="002027BD" w:rsidRPr="009A3F5F">
        <w:rPr>
          <w:rFonts w:ascii="BrowalliaUPC" w:hAnsi="BrowalliaUPC" w:cs="BrowalliaUPC" w:hint="cs"/>
          <w:sz w:val="28"/>
          <w:szCs w:val="28"/>
          <w:cs/>
          <w:lang w:bidi="th-TH"/>
        </w:rPr>
        <w:t>เจ้าหนี้ธนาคารจากหนังสือค้ำประกัน</w:t>
      </w:r>
      <w:r w:rsidRPr="00E561F0">
        <w:rPr>
          <w:rFonts w:ascii="BrowalliaUPC" w:hAnsi="BrowalliaUPC" w:cs="BrowalliaUPC" w:hint="cs"/>
          <w:sz w:val="28"/>
          <w:szCs w:val="28"/>
          <w:cs/>
          <w:lang w:bidi="th-TH"/>
        </w:rPr>
        <w:t>และเงินกู้ยืมระยะสั้นจาก</w:t>
      </w:r>
      <w:r w:rsidRPr="00E561F0">
        <w:rPr>
          <w:rFonts w:ascii="BrowalliaUPC" w:hAnsi="BrowalliaUPC" w:cs="BrowalliaUPC"/>
          <w:sz w:val="28"/>
          <w:szCs w:val="28"/>
          <w:cs/>
          <w:lang w:bidi="th-TH"/>
        </w:rPr>
        <w:t>สถาบันการเงิน</w:t>
      </w:r>
      <w:r w:rsidRPr="00E561F0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จำนวน </w:t>
      </w:r>
      <w:r w:rsidRPr="00E561F0">
        <w:rPr>
          <w:rFonts w:ascii="BrowalliaUPC" w:hAnsi="BrowalliaUPC" w:cs="BrowalliaUPC"/>
          <w:sz w:val="28"/>
          <w:szCs w:val="28"/>
          <w:lang w:bidi="th-TH"/>
        </w:rPr>
        <w:t>1,426.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07 </w:t>
      </w:r>
      <w:r w:rsidR="00CC7227">
        <w:rPr>
          <w:rFonts w:ascii="BrowalliaUPC" w:hAnsi="BrowalliaUPC" w:cs="BrowalliaUPC" w:hint="cs"/>
          <w:sz w:val="28"/>
          <w:szCs w:val="28"/>
          <w:cs/>
          <w:lang w:bidi="th-TH"/>
        </w:rPr>
        <w:t>ล้าน</w:t>
      </w:r>
      <w:r w:rsidRPr="00734BAB">
        <w:rPr>
          <w:rFonts w:ascii="BrowalliaUPC" w:hAnsi="BrowalliaUPC" w:cs="BrowalliaUPC" w:hint="cs"/>
          <w:sz w:val="28"/>
          <w:szCs w:val="28"/>
          <w:cs/>
          <w:lang w:bidi="th-TH"/>
        </w:rPr>
        <w:t>บาท สถาบันการเงินมีสิทธิกำหนดให้หนี้ทั</w:t>
      </w:r>
      <w:r w:rsidR="00890E89">
        <w:rPr>
          <w:rFonts w:ascii="BrowalliaUPC" w:hAnsi="BrowalliaUPC" w:cs="BrowalliaUPC" w:hint="cs"/>
          <w:sz w:val="28"/>
          <w:szCs w:val="28"/>
          <w:cs/>
          <w:lang w:bidi="th-TH"/>
        </w:rPr>
        <w:t>้</w:t>
      </w:r>
      <w:r w:rsidRPr="00734BAB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งหมดต้องชำระในทันทีโดยไม่ต้องทวงถาม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รวมทั้งมีสิทธิระงับวงเงินสินเชื่อที่ยังไม่ได้เบิก</w:t>
      </w:r>
      <w:r w:rsidR="004B4736">
        <w:rPr>
          <w:rFonts w:ascii="BrowalliaUPC" w:hAnsi="BrowalliaUPC" w:cs="BrowalliaUPC" w:hint="cs"/>
          <w:sz w:val="28"/>
          <w:szCs w:val="28"/>
          <w:cs/>
          <w:lang w:bidi="th-TH"/>
        </w:rPr>
        <w:t>ใช้</w:t>
      </w:r>
    </w:p>
    <w:p w14:paraId="542AF455" w14:textId="77777777" w:rsidR="00770C39" w:rsidRPr="00734BAB" w:rsidRDefault="00770C39" w:rsidP="00770C39">
      <w:pPr>
        <w:spacing w:after="0" w:line="240" w:lineRule="auto"/>
        <w:ind w:left="720" w:hanging="11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0EEC43A3" w14:textId="77777777" w:rsidR="00770C39" w:rsidRDefault="00770C39" w:rsidP="00770C39">
      <w:pPr>
        <w:spacing w:after="0" w:line="240" w:lineRule="auto"/>
        <w:ind w:left="720" w:hanging="11"/>
        <w:jc w:val="thaiDistribute"/>
        <w:rPr>
          <w:rFonts w:ascii="BrowalliaUPC" w:eastAsia="Browallia New" w:hAnsi="BrowalliaUPC" w:cs="BrowalliaUPC"/>
          <w:noProof/>
          <w:sz w:val="28"/>
          <w:szCs w:val="28"/>
          <w:lang w:bidi="th-TH"/>
        </w:rPr>
      </w:pP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กลุ่มบริษัทและบริษัทอยู่ในระหว่างการปรับแผนธุรกิจและแผนการดำเนินงานในอนาคต และเข้าสู่กระบวนการฟื้นฟูกิจการโดยการยื่นคำร้องขอฟื้นฟูกิจการต่อศาลล้มละลายกลาง บริษัทได้เจรจาเรียกเก็บเงินค่าก่อสร้างจากเจ้าของโครงการก่อสร้างหลายโครงการอย่างต่อเนื่องและบริษัทดำเนินการการเจรจากับเจ้าหนี้การค้าที่ได้รับผลกระทบจากการบอกเลิกสัญญาก่อสร้างโครงการเนื่องจากบริษัทผิดนัดชำระหนี้กับสถาบันการเงินและบริษัทไม่สามารถเจรจาต่อรองหรือหาแหล่งเงินทุนมาจ่ายชำระหนี้สินที่ผิดนัดชำระหนี้กับสถาบันการเงินได้เป็นผลสำเร็จ สถานการณ์ดังกล่าวแสดงให้เห็นว่ามีความไม่แน่นอนที่เป็นสาระสำคัญ</w:t>
      </w:r>
      <w:r w:rsidRPr="00734BAB">
        <w:rPr>
          <w:rFonts w:ascii="BrowalliaUPC" w:hAnsi="BrowalliaUPC" w:cs="BrowalliaUPC"/>
          <w:sz w:val="28"/>
          <w:szCs w:val="28"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ซึ่งอาจเป็นเหตุให้เกิดข้อสงสัยอย่างมีนัยสำคัญเกี่ยวกับความสามารถในการดำเนินงานอย่างต่อเนื่องของกลุ่มบริษัทและ</w:t>
      </w:r>
      <w:r w:rsidRPr="00734BAB">
        <w:rPr>
          <w:rFonts w:ascii="BrowalliaUPC" w:eastAsia="Browallia New" w:hAnsi="BrowalliaUPC" w:cs="BrowalliaUPC"/>
          <w:noProof/>
          <w:sz w:val="28"/>
          <w:szCs w:val="28"/>
          <w:cs/>
          <w:lang w:bidi="th-TH"/>
        </w:rPr>
        <w:t>บริษัท</w:t>
      </w:r>
    </w:p>
    <w:p w14:paraId="6C1949D9" w14:textId="77777777" w:rsidR="00CF1B8D" w:rsidRDefault="00CF1B8D" w:rsidP="00770C39">
      <w:pPr>
        <w:spacing w:after="0" w:line="240" w:lineRule="auto"/>
        <w:ind w:left="720" w:hanging="11"/>
        <w:jc w:val="thaiDistribute"/>
        <w:rPr>
          <w:rFonts w:ascii="BrowalliaUPC" w:eastAsia="Browallia New" w:hAnsi="BrowalliaUPC" w:cs="BrowalliaUPC"/>
          <w:noProof/>
          <w:sz w:val="28"/>
          <w:szCs w:val="28"/>
          <w:lang w:bidi="th-TH"/>
        </w:rPr>
      </w:pPr>
    </w:p>
    <w:p w14:paraId="3C65A06A" w14:textId="77777777" w:rsidR="00CF1B8D" w:rsidRDefault="00CF1B8D" w:rsidP="00770C39">
      <w:pPr>
        <w:spacing w:after="0" w:line="240" w:lineRule="auto"/>
        <w:ind w:left="720" w:hanging="11"/>
        <w:jc w:val="thaiDistribute"/>
        <w:rPr>
          <w:rFonts w:ascii="BrowalliaUPC" w:eastAsia="Browallia New" w:hAnsi="BrowalliaUPC" w:cs="BrowalliaUPC"/>
          <w:noProof/>
          <w:sz w:val="28"/>
          <w:szCs w:val="28"/>
          <w:lang w:bidi="th-TH"/>
        </w:rPr>
      </w:pPr>
    </w:p>
    <w:p w14:paraId="0CFDE141" w14:textId="77777777" w:rsidR="00CF1B8D" w:rsidRDefault="00CF1B8D" w:rsidP="00770C39">
      <w:pPr>
        <w:spacing w:after="0" w:line="240" w:lineRule="auto"/>
        <w:ind w:left="720" w:hanging="11"/>
        <w:jc w:val="thaiDistribute"/>
        <w:rPr>
          <w:rFonts w:ascii="BrowalliaUPC" w:eastAsia="Browallia New" w:hAnsi="BrowalliaUPC" w:cs="BrowalliaUPC"/>
          <w:noProof/>
          <w:sz w:val="28"/>
          <w:szCs w:val="28"/>
          <w:lang w:bidi="th-TH"/>
        </w:rPr>
      </w:pPr>
    </w:p>
    <w:p w14:paraId="4ACE7EBD" w14:textId="77777777" w:rsidR="00CF1B8D" w:rsidRDefault="00CF1B8D" w:rsidP="00770C39">
      <w:pPr>
        <w:spacing w:after="0" w:line="240" w:lineRule="auto"/>
        <w:ind w:left="720" w:hanging="11"/>
        <w:jc w:val="thaiDistribute"/>
        <w:rPr>
          <w:rFonts w:ascii="BrowalliaUPC" w:eastAsia="Browallia New" w:hAnsi="BrowalliaUPC" w:cs="BrowalliaUPC"/>
          <w:noProof/>
          <w:sz w:val="28"/>
          <w:szCs w:val="28"/>
          <w:lang w:bidi="th-TH"/>
        </w:rPr>
      </w:pPr>
    </w:p>
    <w:p w14:paraId="31B9285A" w14:textId="77777777" w:rsidR="00770C39" w:rsidRPr="00734BAB" w:rsidRDefault="00770C39" w:rsidP="00770C39">
      <w:pPr>
        <w:pStyle w:val="ListParagraph"/>
        <w:numPr>
          <w:ilvl w:val="0"/>
          <w:numId w:val="35"/>
        </w:numPr>
        <w:spacing w:after="0" w:line="240" w:lineRule="auto"/>
        <w:jc w:val="thaiDistribute"/>
        <w:rPr>
          <w:rFonts w:ascii="BrowalliaUPC" w:hAnsi="BrowalliaUPC" w:cs="BrowalliaUPC"/>
          <w:sz w:val="28"/>
          <w:szCs w:val="28"/>
        </w:rPr>
      </w:pP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lastRenderedPageBreak/>
        <w:t>การยื่นคำร้องขอฟื้นฟูกิจการต่อศาลล้มละลายกลาง</w:t>
      </w:r>
    </w:p>
    <w:p w14:paraId="4D2D522F" w14:textId="77777777" w:rsidR="003D35B6" w:rsidRDefault="003D35B6" w:rsidP="00770C39">
      <w:pPr>
        <w:spacing w:after="0" w:line="240" w:lineRule="auto"/>
        <w:ind w:left="720" w:hanging="11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07AFCDBE" w14:textId="6EE0FEDD" w:rsidR="00A959F8" w:rsidRDefault="00770C39" w:rsidP="00770C39">
      <w:pPr>
        <w:spacing w:after="0" w:line="240" w:lineRule="auto"/>
        <w:ind w:left="720" w:hanging="11"/>
        <w:jc w:val="thaiDistribute"/>
        <w:rPr>
          <w:rFonts w:ascii="BrowalliaUPC" w:hAnsi="BrowalliaUPC" w:cs="BrowalliaUPC"/>
          <w:sz w:val="28"/>
          <w:szCs w:val="28"/>
          <w:lang w:val="en-US" w:bidi="th-TH"/>
        </w:rPr>
      </w:pP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ตามที่กล่าวไว้ในหมายเหตุประกอบงบการเงินข้อ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lang w:val="en-US" w:bidi="th-TH"/>
        </w:rPr>
        <w:t>19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และ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</w:rPr>
        <w:t>29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เมื่อวันที่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 31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ตุลาคม </w:t>
      </w:r>
      <w:r w:rsidRPr="00734BAB">
        <w:rPr>
          <w:rFonts w:ascii="BrowalliaUPC" w:hAnsi="BrowalliaUPC" w:cs="BrowalliaUPC"/>
          <w:sz w:val="28"/>
          <w:szCs w:val="28"/>
          <w:lang w:val="en-US" w:bidi="th-TH"/>
        </w:rPr>
        <w:t>2568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ที่ประชุมกรรมการบริษัท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มีมติให้บริษัทยื่นคำร้องขอฟื้นฟูกิจการต่อศาลล้มละลายกลาง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โดยในวันที่</w:t>
      </w:r>
      <w:r w:rsidR="003D35B6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CF1B8D">
        <w:rPr>
          <w:rFonts w:ascii="BrowalliaUPC" w:hAnsi="BrowalliaUPC" w:cs="BrowalliaUPC"/>
          <w:sz w:val="28"/>
          <w:szCs w:val="28"/>
          <w:lang w:bidi="th-TH"/>
        </w:rPr>
        <w:br/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31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ตุลาคม </w:t>
      </w:r>
      <w:r w:rsidRPr="00734BAB">
        <w:rPr>
          <w:rFonts w:ascii="BrowalliaUPC" w:hAnsi="BrowalliaUPC" w:cs="BrowalliaUPC"/>
          <w:sz w:val="28"/>
          <w:szCs w:val="28"/>
          <w:lang w:val="en-US" w:bidi="th-TH"/>
        </w:rPr>
        <w:t>2568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บริษัทได้ยื่นคำร้องขอฟื้นฟูกิจการและในวันที่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3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พฤศจิกายน 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2568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ศาลล้มละลายกลางมีคำสั่งรับคำร้องขอฟื้นฟูกิจการของบริษัท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บริษัทจึงเข้าสู่สภาวะการพักชำระหนี้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และกำหนดวันไต่สวนคำร้องขอฟื้นฟูกิจการในวันที่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 xml:space="preserve">28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มกราคม </w:t>
      </w:r>
      <w:r w:rsidRPr="00734BAB">
        <w:rPr>
          <w:rFonts w:ascii="BrowalliaUPC" w:hAnsi="BrowalliaUPC" w:cs="BrowalliaUPC"/>
          <w:sz w:val="28"/>
          <w:szCs w:val="28"/>
          <w:lang w:val="en-US" w:bidi="th-TH"/>
        </w:rPr>
        <w:t xml:space="preserve">2569 </w:t>
      </w:r>
    </w:p>
    <w:p w14:paraId="5B711782" w14:textId="77777777" w:rsidR="00A959F8" w:rsidRDefault="00A959F8" w:rsidP="00770C39">
      <w:pPr>
        <w:spacing w:after="0" w:line="240" w:lineRule="auto"/>
        <w:ind w:left="720" w:hanging="11"/>
        <w:jc w:val="thaiDistribute"/>
        <w:rPr>
          <w:rFonts w:ascii="BrowalliaUPC" w:hAnsi="BrowalliaUPC" w:cs="BrowalliaUPC"/>
          <w:sz w:val="28"/>
          <w:szCs w:val="28"/>
          <w:lang w:val="en-US" w:bidi="th-TH"/>
        </w:rPr>
      </w:pPr>
    </w:p>
    <w:p w14:paraId="6D684D17" w14:textId="62BE920E" w:rsidR="00770C39" w:rsidRPr="00734BAB" w:rsidRDefault="00770C39" w:rsidP="00770C39">
      <w:pPr>
        <w:spacing w:after="0" w:line="240" w:lineRule="auto"/>
        <w:ind w:left="720" w:hanging="11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ณ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วันที่รายงานการสอบทานข้อมูลทางการเงินของข้าพเจ้า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คดีความต่าง ๆ ของบริษัทตามที่กล่าวในหมายเหตุประกอบงบการเงินข้อ </w:t>
      </w:r>
      <w:r w:rsidRPr="00734BAB">
        <w:rPr>
          <w:rFonts w:ascii="BrowalliaUPC" w:hAnsi="BrowalliaUPC" w:cs="BrowalliaUPC"/>
          <w:sz w:val="28"/>
          <w:szCs w:val="28"/>
          <w:lang w:bidi="th-TH"/>
        </w:rPr>
        <w:t>27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 ยังไม่เสร็จสิ้นการไต่สวนซึ่งผลของการไต่สวนอาจส่งผลต่อการเรียกชำระคืนของหนี้สิน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การยอมรับแผนฟื้นฟูกิจการของเจ้าหนี้ การแต่งตั้งผู้ทำแผน ผลสำเร็จของแผนฟื้นฟูกิจการและการดำเนินตามแผนธุรกิจที่ผู้บริหารจัดทำและได้ทำการชี้แจงกับทางผู้ถือหุ้นกู้และเจ้าหนี้ ความสามารถในการดำเนินงานต่อเนื่องของบริษัทขึ้นกับหลายปัจจัยทั้งภายใน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ภายนอก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สภาพแวดล้อมเศรษฐกิจและอุตสาหกรรมรวมถึงการพิจารณาลงมติยอมรับแผนฟื้นฟูกิจการของเจ้าหนี้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ความสำเร็จในการดำเนินการตามแผนฟื้นฟูกิจการและความสามารถในการประกอบธุรกิจต่อไปของบริษัท สถานการณ์ดังกล่าวแสดงให้เห็นว่ามีความไม่แน่นอนที่เป็นสาระสำคัญ</w:t>
      </w:r>
      <w:r w:rsidRPr="00734BAB">
        <w:rPr>
          <w:rFonts w:ascii="BrowalliaUPC" w:hAnsi="BrowalliaUPC" w:cs="BrowalliaUPC"/>
          <w:sz w:val="28"/>
          <w:szCs w:val="28"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ซึ่งอาจเป็นเหตุให้เกิดข้อสงสัยอย่างมีนัยสำคัญเกี่ยวกับความสามารถในการดำเนินงานอย่างต่อเนื่องของกลุ่มบริษัทและ</w:t>
      </w:r>
      <w:r w:rsidRPr="00734BAB">
        <w:rPr>
          <w:rFonts w:ascii="BrowalliaUPC" w:eastAsia="Browallia New" w:hAnsi="BrowalliaUPC" w:cs="BrowalliaUPC"/>
          <w:noProof/>
          <w:sz w:val="28"/>
          <w:szCs w:val="28"/>
          <w:cs/>
          <w:lang w:bidi="th-TH"/>
        </w:rPr>
        <w:t>บริษัท</w:t>
      </w:r>
    </w:p>
    <w:p w14:paraId="55626809" w14:textId="77777777" w:rsidR="00770C39" w:rsidRPr="00734BAB" w:rsidRDefault="00770C39" w:rsidP="00770C39">
      <w:pPr>
        <w:spacing w:after="0" w:line="240" w:lineRule="auto"/>
        <w:ind w:left="720" w:hanging="11"/>
        <w:jc w:val="thaiDistribute"/>
        <w:rPr>
          <w:rFonts w:ascii="BrowalliaUPC" w:hAnsi="BrowalliaUPC" w:cs="BrowalliaUPC"/>
          <w:sz w:val="28"/>
          <w:szCs w:val="28"/>
          <w:lang w:val="en-US" w:bidi="th-TH"/>
        </w:rPr>
      </w:pPr>
    </w:p>
    <w:p w14:paraId="3B3E04B3" w14:textId="77777777" w:rsidR="00770C39" w:rsidRPr="00734BAB" w:rsidRDefault="00770C39" w:rsidP="00770C39">
      <w:pPr>
        <w:pStyle w:val="ListParagraph"/>
        <w:numPr>
          <w:ilvl w:val="0"/>
          <w:numId w:val="35"/>
        </w:numPr>
        <w:spacing w:after="0" w:line="240" w:lineRule="auto"/>
        <w:jc w:val="thaiDistribute"/>
        <w:rPr>
          <w:rFonts w:ascii="BrowalliaUPC" w:hAnsi="BrowalliaUPC" w:cs="BrowalliaUPC"/>
          <w:sz w:val="28"/>
          <w:szCs w:val="28"/>
        </w:rPr>
      </w:pP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คดีฟ้องร้องจากบริษัทอื่นและหนี้สินที่อาจจะเกิดขึ้น </w:t>
      </w:r>
    </w:p>
    <w:p w14:paraId="5547224A" w14:textId="77777777" w:rsidR="00770C39" w:rsidRPr="00734BAB" w:rsidRDefault="00770C39" w:rsidP="00770C39">
      <w:pPr>
        <w:pStyle w:val="ListParagraph"/>
        <w:spacing w:after="0" w:line="240" w:lineRule="auto"/>
        <w:ind w:left="360" w:firstLine="360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24FB53DD" w14:textId="489E4BD6" w:rsidR="00770C39" w:rsidRPr="00935694" w:rsidRDefault="00770C39" w:rsidP="00770C39">
      <w:pPr>
        <w:pStyle w:val="ListParagraph"/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ตามที่กล่าวไว้ในหมายเหตุประกอบงบการเงินข้อ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</w:rPr>
        <w:t xml:space="preserve">27 </w:t>
      </w:r>
      <w:r w:rsidRPr="00734BAB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และ </w:t>
      </w:r>
      <w:r w:rsidRPr="00734BAB">
        <w:rPr>
          <w:rFonts w:ascii="BrowalliaUPC" w:hAnsi="BrowalliaUPC" w:cs="BrowalliaUPC"/>
          <w:sz w:val="28"/>
          <w:szCs w:val="28"/>
          <w:lang w:val="en-US" w:bidi="th-TH"/>
        </w:rPr>
        <w:t>28</w:t>
      </w:r>
      <w:r w:rsidRPr="00734BAB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บริษัทถูกฟ้องร้องจาก</w:t>
      </w:r>
      <w:r w:rsidRPr="00734BAB">
        <w:rPr>
          <w:rFonts w:ascii="BrowalliaUPC" w:hAnsi="BrowalliaUPC" w:cs="BrowalliaUPC"/>
          <w:spacing w:val="-4"/>
          <w:sz w:val="28"/>
          <w:szCs w:val="28"/>
          <w:cs/>
          <w:lang w:bidi="th-TH"/>
        </w:rPr>
        <w:t>บริษัทอื่นหลายรายในคดีต่าง ๆ</w:t>
      </w:r>
      <w:r w:rsidRPr="00734BAB">
        <w:rPr>
          <w:rFonts w:ascii="BrowalliaUPC" w:hAnsi="BrowalliaUPC" w:cs="BrowalliaUPC"/>
          <w:spacing w:val="-4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pacing w:val="-4"/>
          <w:sz w:val="28"/>
          <w:szCs w:val="28"/>
          <w:cs/>
          <w:lang w:bidi="th-TH"/>
        </w:rPr>
        <w:t>จากการผิดสัญญา</w:t>
      </w:r>
      <w:r w:rsidRPr="00734BAB">
        <w:rPr>
          <w:rFonts w:ascii="BrowalliaUPC" w:hAnsi="BrowalliaUPC" w:cs="BrowalliaUPC"/>
          <w:spacing w:val="-4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pacing w:val="-4"/>
          <w:sz w:val="28"/>
          <w:szCs w:val="28"/>
          <w:cs/>
          <w:lang w:bidi="th-TH"/>
        </w:rPr>
        <w:t>การเรียกร้องค่าเสียหายและอื่น ๆ</w:t>
      </w:r>
      <w:r w:rsidRPr="00734BAB">
        <w:rPr>
          <w:rFonts w:ascii="BrowalliaUPC" w:hAnsi="BrowalliaUPC" w:cs="BrowalliaUPC"/>
          <w:spacing w:val="-4"/>
          <w:sz w:val="28"/>
          <w:szCs w:val="28"/>
          <w:cs/>
        </w:rPr>
        <w:t xml:space="preserve"> </w:t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 xml:space="preserve">ซึ่งปัจจุบันคดีความอยู่ในระหว่างการพิจารณาของศาล และกระบวนการของอนุญาโตตุลาการและผลของคดียังไม่สิ้นสุด </w:t>
      </w:r>
      <w:r w:rsidR="00CF1B8D">
        <w:rPr>
          <w:rFonts w:ascii="BrowalliaUPC" w:hAnsi="BrowalliaUPC" w:cs="BrowalliaUPC"/>
          <w:sz w:val="28"/>
          <w:szCs w:val="28"/>
          <w:lang w:bidi="th-TH"/>
        </w:rPr>
        <w:br/>
      </w:r>
      <w:r w:rsidRPr="00734BAB">
        <w:rPr>
          <w:rFonts w:ascii="BrowalliaUPC" w:hAnsi="BrowalliaUPC" w:cs="BrowalliaUPC"/>
          <w:sz w:val="28"/>
          <w:szCs w:val="28"/>
          <w:cs/>
          <w:lang w:bidi="th-TH"/>
        </w:rPr>
        <w:t>ทั้งนี้ผู้บริหารของบริษัทพิจารณาไม่ตั้งสำรองหนี้สินที่อาจเกิดขึ้นเนื่องจากเหตุการณ์ดังกล่าวยังไม่สามารถสรุปได้ในปัจจุบัน ข้าพเจ้าไม่สามารถพิจารณาผลกระทบที่อาจเกิดขึ้น (ถ้ามี) ต่อประมาณการหนี้สินที่อาจเกิดขึ้นในข้อมูลทางการเงินรวมและข้อมูลทางการเงินเฉพาะบริษัทระหว่างกาลได้เนื่องจากความไม่แน่นอนและข้อจำกัดของสถานการณ์ตามที่กล่าวไว้</w:t>
      </w:r>
    </w:p>
    <w:p w14:paraId="58CD1D1A" w14:textId="77777777" w:rsidR="00770C39" w:rsidRPr="00734BAB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color w:val="000000" w:themeColor="text1"/>
          <w:sz w:val="28"/>
          <w:szCs w:val="28"/>
          <w:lang w:val="en-US" w:bidi="th-TH"/>
        </w:rPr>
      </w:pPr>
    </w:p>
    <w:p w14:paraId="4FE243CA" w14:textId="77777777" w:rsidR="00770C39" w:rsidRPr="00935694" w:rsidRDefault="00770C39" w:rsidP="00770C39">
      <w:pPr>
        <w:tabs>
          <w:tab w:val="left" w:pos="1418"/>
        </w:tabs>
        <w:spacing w:line="380" w:lineRule="exact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>สถานการณ์ดังกล่าวข้างต้น</w:t>
      </w:r>
      <w:r w:rsidRPr="00935694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>มีผลกระทบและมีความเกี่ยวข้องกัน</w:t>
      </w:r>
      <w:r w:rsidRPr="00935694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>ซึ่งแสดงถึงความไม่แน่นอนที่มีสาระสำคัญต่อความสามารถในการดำเนินงานต่อเนื่องของกลุ่มบริษัทและบริษัท</w:t>
      </w:r>
      <w:r w:rsidRPr="00935694">
        <w:rPr>
          <w:rFonts w:ascii="BrowalliaUPC" w:hAnsi="BrowalliaUPC" w:cs="BrowalliaUPC"/>
          <w:sz w:val="28"/>
          <w:szCs w:val="28"/>
          <w:cs/>
        </w:rPr>
        <w:t xml:space="preserve"> </w:t>
      </w: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 xml:space="preserve">ซึ่งอาจส่งผลกระทบที่มีนัยสำคัญต่อมูลค่าสินทรัพย์และหนี้สินที่มีสาระสำคัญต่อข้อมูลทางการเงินระหว่างกาลรวมและเฉพาะบริษัทสำหรับงวดสามเดือนและเก้าเดือนสิ้นสุดวันที่ </w:t>
      </w:r>
      <w:r w:rsidRPr="00935694">
        <w:rPr>
          <w:rFonts w:ascii="BrowalliaUPC" w:hAnsi="BrowalliaUPC" w:cs="BrowalliaUPC"/>
          <w:sz w:val="28"/>
          <w:szCs w:val="28"/>
          <w:lang w:bidi="th-TH"/>
        </w:rPr>
        <w:t>30</w:t>
      </w: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 xml:space="preserve"> กันยายน </w:t>
      </w:r>
      <w:r w:rsidRPr="00935694">
        <w:rPr>
          <w:rFonts w:ascii="BrowalliaUPC" w:hAnsi="BrowalliaUPC" w:cs="BrowalliaUPC"/>
          <w:sz w:val="28"/>
          <w:szCs w:val="28"/>
          <w:lang w:bidi="th-TH"/>
        </w:rPr>
        <w:t>2568</w:t>
      </w:r>
    </w:p>
    <w:p w14:paraId="364F71F4" w14:textId="77777777" w:rsidR="00770C39" w:rsidRDefault="00770C39" w:rsidP="00770C39">
      <w:pPr>
        <w:jc w:val="thaiDistribute"/>
        <w:rPr>
          <w:rFonts w:ascii="BrowalliaUPC" w:hAnsi="BrowalliaUPC" w:cs="BrowalliaUPC"/>
          <w:color w:val="000000" w:themeColor="text1"/>
          <w:sz w:val="28"/>
          <w:szCs w:val="28"/>
          <w:lang w:bidi="th-TH"/>
        </w:rPr>
      </w:pPr>
    </w:p>
    <w:p w14:paraId="2D4378FF" w14:textId="77777777" w:rsidR="00012431" w:rsidRDefault="00012431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  <w:r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br w:type="page"/>
      </w:r>
    </w:p>
    <w:p w14:paraId="34B75E1C" w14:textId="4F3CCF5A" w:rsidR="00770C39" w:rsidRPr="00935694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bidi="th-TH"/>
        </w:rPr>
      </w:pPr>
      <w:r w:rsidRPr="00935694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การไม่ให้ข้อสรุป</w:t>
      </w:r>
    </w:p>
    <w:p w14:paraId="79A21B01" w14:textId="77777777" w:rsidR="00770C39" w:rsidRPr="00935694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</w:rPr>
      </w:pPr>
    </w:p>
    <w:p w14:paraId="5A90C1D3" w14:textId="7BD02BC7" w:rsidR="0059631B" w:rsidRPr="00C87B6E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 w:bidi="th-TH"/>
        </w:rPr>
      </w:pP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>เนื่องจากเรื่องที่กล่าวในวรรคเกณฑ์ในการไม่ให้ข้อสรุปมี</w:t>
      </w:r>
      <w:r w:rsidR="00963903">
        <w:rPr>
          <w:rFonts w:ascii="BrowalliaUPC" w:hAnsi="BrowalliaUPC" w:cs="BrowalliaUPC" w:hint="cs"/>
          <w:sz w:val="28"/>
          <w:szCs w:val="28"/>
          <w:cs/>
          <w:lang w:bidi="th-TH"/>
        </w:rPr>
        <w:t>ผลกระทบ</w:t>
      </w:r>
      <w:r w:rsidR="00A93D2D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4C5D82">
        <w:rPr>
          <w:rFonts w:ascii="BrowalliaUPC" w:hAnsi="BrowalliaUPC" w:cs="BrowalliaUPC" w:hint="cs"/>
          <w:sz w:val="28"/>
          <w:szCs w:val="28"/>
          <w:cs/>
          <w:lang w:bidi="th-TH"/>
        </w:rPr>
        <w:t>มี</w:t>
      </w:r>
      <w:r w:rsidR="00DA3AA8">
        <w:rPr>
          <w:rFonts w:ascii="BrowalliaUPC" w:hAnsi="BrowalliaUPC" w:cs="BrowalliaUPC" w:hint="cs"/>
          <w:sz w:val="28"/>
          <w:szCs w:val="28"/>
          <w:cs/>
          <w:lang w:bidi="th-TH"/>
        </w:rPr>
        <w:t>ความเกี่ยวข้องก</w:t>
      </w:r>
      <w:r w:rsidR="006374AD">
        <w:rPr>
          <w:rFonts w:ascii="BrowalliaUPC" w:hAnsi="BrowalliaUPC" w:cs="BrowalliaUPC" w:hint="cs"/>
          <w:sz w:val="28"/>
          <w:szCs w:val="28"/>
          <w:cs/>
          <w:lang w:bidi="th-TH"/>
        </w:rPr>
        <w:t>ันซึ่ง</w:t>
      </w:r>
      <w:r w:rsidR="00376F89">
        <w:rPr>
          <w:rFonts w:ascii="BrowalliaUPC" w:hAnsi="BrowalliaUPC" w:cs="BrowalliaUPC" w:hint="cs"/>
          <w:sz w:val="28"/>
          <w:szCs w:val="28"/>
          <w:cs/>
          <w:lang w:bidi="th-TH"/>
        </w:rPr>
        <w:t>แสดง</w:t>
      </w:r>
      <w:r w:rsidR="002052B1">
        <w:rPr>
          <w:rFonts w:ascii="BrowalliaUPC" w:hAnsi="BrowalliaUPC" w:cs="BrowalliaUPC" w:hint="cs"/>
          <w:sz w:val="28"/>
          <w:szCs w:val="28"/>
          <w:cs/>
          <w:lang w:bidi="th-TH"/>
        </w:rPr>
        <w:t>ให้เห็น</w:t>
      </w:r>
      <w:r w:rsidR="0047768B">
        <w:rPr>
          <w:rFonts w:ascii="BrowalliaUPC" w:hAnsi="BrowalliaUPC" w:cs="BrowalliaUPC" w:hint="cs"/>
          <w:sz w:val="28"/>
          <w:szCs w:val="28"/>
          <w:cs/>
          <w:lang w:bidi="th-TH"/>
        </w:rPr>
        <w:t>ถึงความไม่แน่นอน</w:t>
      </w:r>
      <w:r w:rsidR="0097306F">
        <w:rPr>
          <w:rFonts w:ascii="BrowalliaUPC" w:hAnsi="BrowalliaUPC" w:cs="BrowalliaUPC" w:hint="cs"/>
          <w:sz w:val="28"/>
          <w:szCs w:val="28"/>
          <w:cs/>
          <w:lang w:bidi="th-TH"/>
        </w:rPr>
        <w:t>หลายอย่างที่อาจส่งผลกระทบที่มีนัยสำคัญ</w:t>
      </w: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>ต่อข้อมูลทางการเงิน</w:t>
      </w:r>
      <w:r w:rsidR="007C1DF1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</w:t>
      </w:r>
      <w:r w:rsidR="000F650B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4C06F6" w:rsidRPr="00935694">
        <w:rPr>
          <w:rFonts w:ascii="BrowalliaUPC" w:hAnsi="BrowalliaUPC" w:cs="BrowalliaUPC"/>
          <w:sz w:val="28"/>
          <w:szCs w:val="28"/>
          <w:cs/>
          <w:lang w:bidi="th-TH"/>
        </w:rPr>
        <w:t>ของบริษัท</w:t>
      </w:r>
      <w:r w:rsidR="004C06F6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4C06F6" w:rsidRPr="00935694">
        <w:rPr>
          <w:rFonts w:ascii="BrowalliaUPC" w:hAnsi="BrowalliaUPC" w:cs="BrowalliaUPC"/>
          <w:sz w:val="28"/>
          <w:szCs w:val="28"/>
          <w:cs/>
          <w:lang w:bidi="th-TH"/>
        </w:rPr>
        <w:t>ทีทีซีแอล จำกัด (มหาชน) และบริษัทย่อย (กลุ่มบริษัท)</w:t>
      </w:r>
      <w:r w:rsidR="004C06F6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4C06F6" w:rsidRPr="00935694">
        <w:rPr>
          <w:rFonts w:ascii="BrowalliaUPC" w:hAnsi="BrowalliaUPC" w:cs="BrowalliaUPC"/>
          <w:sz w:val="28"/>
          <w:szCs w:val="28"/>
          <w:cs/>
          <w:lang w:bidi="th-TH"/>
        </w:rPr>
        <w:t>และข้อมูลทางการเงินเฉพาะบริษัทระหว่างกาลของบริษัท</w:t>
      </w:r>
      <w:r w:rsidR="004C06F6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4C06F6" w:rsidRPr="00935694">
        <w:rPr>
          <w:rFonts w:ascii="BrowalliaUPC" w:hAnsi="BrowalliaUPC" w:cs="BrowalliaUPC"/>
          <w:sz w:val="28"/>
          <w:szCs w:val="28"/>
          <w:cs/>
          <w:lang w:bidi="th-TH"/>
        </w:rPr>
        <w:t xml:space="preserve">ทีทีซีแอล จำกัด (มหาชน) </w:t>
      </w:r>
      <w:r w:rsidR="004C06F6" w:rsidRPr="00935694">
        <w:rPr>
          <w:rFonts w:ascii="BrowalliaUPC" w:hAnsi="BrowalliaUPC" w:cs="BrowalliaUPC"/>
          <w:sz w:val="28"/>
          <w:szCs w:val="28"/>
          <w:cs/>
          <w:lang w:val="en-US" w:bidi="th-TH"/>
        </w:rPr>
        <w:t>ตามลำดับ</w:t>
      </w:r>
      <w:r w:rsidR="003B2346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ณ </w:t>
      </w:r>
      <w:r w:rsidR="00C87B6E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วันที่ </w:t>
      </w:r>
      <w:r w:rsidR="00C87B6E">
        <w:rPr>
          <w:rFonts w:ascii="BrowalliaUPC" w:hAnsi="BrowalliaUPC" w:cs="BrowalliaUPC"/>
          <w:sz w:val="28"/>
          <w:szCs w:val="28"/>
          <w:lang w:val="en-US" w:bidi="th-TH"/>
        </w:rPr>
        <w:t xml:space="preserve">30 </w:t>
      </w:r>
      <w:r w:rsidR="00C87B6E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กันยายน </w:t>
      </w:r>
      <w:r w:rsidR="00C87B6E">
        <w:rPr>
          <w:rFonts w:ascii="BrowalliaUPC" w:hAnsi="BrowalliaUPC" w:cs="BrowalliaUPC"/>
          <w:sz w:val="28"/>
          <w:szCs w:val="28"/>
          <w:lang w:val="en-US" w:bidi="th-TH"/>
        </w:rPr>
        <w:t xml:space="preserve">2568 </w:t>
      </w:r>
      <w:r w:rsidR="00C87B6E">
        <w:rPr>
          <w:rFonts w:ascii="BrowalliaUPC" w:hAnsi="BrowalliaUPC" w:cs="BrowalliaUPC" w:hint="cs"/>
          <w:sz w:val="28"/>
          <w:szCs w:val="28"/>
          <w:cs/>
          <w:lang w:val="en-US" w:bidi="th-TH"/>
        </w:rPr>
        <w:t>และ</w:t>
      </w:r>
      <w:r w:rsidR="00C87B6E" w:rsidRPr="00935694">
        <w:rPr>
          <w:rFonts w:ascii="BrowalliaUPC" w:hAnsi="BrowalliaUPC" w:cs="BrowalliaUPC"/>
          <w:sz w:val="28"/>
          <w:szCs w:val="28"/>
          <w:cs/>
          <w:lang w:bidi="th-TH"/>
        </w:rPr>
        <w:t>สำหรับงวด</w:t>
      </w:r>
      <w:r w:rsidR="00CF1B8D">
        <w:rPr>
          <w:rFonts w:ascii="BrowalliaUPC" w:hAnsi="BrowalliaUPC" w:cs="BrowalliaUPC"/>
          <w:sz w:val="28"/>
          <w:szCs w:val="28"/>
          <w:lang w:bidi="th-TH"/>
        </w:rPr>
        <w:br/>
      </w:r>
      <w:r w:rsidR="00C87B6E" w:rsidRPr="00935694">
        <w:rPr>
          <w:rFonts w:ascii="BrowalliaUPC" w:hAnsi="BrowalliaUPC" w:cs="BrowalliaUPC"/>
          <w:sz w:val="28"/>
          <w:szCs w:val="28"/>
          <w:cs/>
          <w:lang w:bidi="th-TH"/>
        </w:rPr>
        <w:t xml:space="preserve">สามเดือนและเก้าเดือนสิ้นสุดวันที่ </w:t>
      </w:r>
      <w:r w:rsidR="00C87B6E" w:rsidRPr="00935694">
        <w:rPr>
          <w:rFonts w:ascii="BrowalliaUPC" w:hAnsi="BrowalliaUPC" w:cs="BrowalliaUPC"/>
          <w:sz w:val="28"/>
          <w:szCs w:val="28"/>
          <w:lang w:val="en-US" w:bidi="th-TH"/>
        </w:rPr>
        <w:t>30</w:t>
      </w:r>
      <w:r w:rsidR="00C87B6E" w:rsidRPr="00935694">
        <w:rPr>
          <w:rFonts w:ascii="BrowalliaUPC" w:hAnsi="BrowalliaUPC" w:cs="BrowalliaUPC"/>
          <w:sz w:val="28"/>
          <w:szCs w:val="28"/>
          <w:cs/>
          <w:lang w:val="en-US" w:bidi="th-TH"/>
        </w:rPr>
        <w:t xml:space="preserve"> กันยายน </w:t>
      </w:r>
      <w:r w:rsidR="00C87B6E" w:rsidRPr="00935694">
        <w:rPr>
          <w:rFonts w:ascii="BrowalliaUPC" w:hAnsi="BrowalliaUPC" w:cs="BrowalliaUPC"/>
          <w:sz w:val="28"/>
          <w:szCs w:val="28"/>
          <w:lang w:val="en-US" w:bidi="th-TH"/>
        </w:rPr>
        <w:t>256</w:t>
      </w:r>
      <w:r w:rsidR="00C87B6E">
        <w:rPr>
          <w:rFonts w:ascii="BrowalliaUPC" w:hAnsi="BrowalliaUPC" w:cs="BrowalliaUPC"/>
          <w:sz w:val="28"/>
          <w:szCs w:val="28"/>
          <w:lang w:val="en-US" w:bidi="th-TH"/>
        </w:rPr>
        <w:t>8</w:t>
      </w:r>
      <w:r w:rsidR="004C06F6" w:rsidRPr="0093569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>ข้าพเจ้าจึงไม่สามารถให้ข้อสรุปต่อข้อมูลทางการเงินระหว่างกาล</w:t>
      </w:r>
      <w:r w:rsidR="0059631B">
        <w:rPr>
          <w:rFonts w:ascii="BrowalliaUPC" w:hAnsi="BrowalliaUPC" w:cs="BrowalliaUPC" w:hint="cs"/>
          <w:sz w:val="28"/>
          <w:szCs w:val="28"/>
          <w:cs/>
          <w:lang w:bidi="th-TH"/>
        </w:rPr>
        <w:t>ข้างต้นได้</w:t>
      </w:r>
    </w:p>
    <w:p w14:paraId="117D436F" w14:textId="77777777" w:rsidR="0059631B" w:rsidRDefault="0059631B" w:rsidP="00770C39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55623F47" w14:textId="77777777" w:rsidR="00770C39" w:rsidRDefault="00770C39" w:rsidP="00770C39">
      <w:pPr>
        <w:jc w:val="thaiDistribute"/>
        <w:rPr>
          <w:rFonts w:ascii="BrowalliaUPC" w:hAnsi="BrowalliaUPC" w:cs="BrowalliaUPC"/>
          <w:color w:val="000000" w:themeColor="text1"/>
          <w:sz w:val="28"/>
          <w:szCs w:val="28"/>
          <w:lang w:val="en-US" w:bidi="th-TH"/>
        </w:rPr>
      </w:pPr>
    </w:p>
    <w:p w14:paraId="35227BC2" w14:textId="77777777" w:rsidR="00770C39" w:rsidRPr="00935694" w:rsidRDefault="00770C39" w:rsidP="00770C39">
      <w:pPr>
        <w:jc w:val="thaiDistribute"/>
        <w:rPr>
          <w:rFonts w:ascii="BrowalliaUPC" w:hAnsi="BrowalliaUPC" w:cs="BrowalliaUPC"/>
          <w:color w:val="000000" w:themeColor="text1"/>
          <w:sz w:val="28"/>
          <w:szCs w:val="28"/>
          <w:lang w:val="en-US" w:bidi="th-TH"/>
        </w:rPr>
      </w:pPr>
    </w:p>
    <w:p w14:paraId="06F289B6" w14:textId="77777777" w:rsidR="00770C39" w:rsidRPr="00935694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  <w:cs/>
          <w:lang w:bidi="th-TH"/>
        </w:rPr>
      </w:pPr>
      <w:r w:rsidRPr="00935694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>ลักษมี ดีตระกูลวัฒนผล</w:t>
      </w:r>
    </w:p>
    <w:p w14:paraId="2199C27E" w14:textId="77777777" w:rsidR="00770C39" w:rsidRPr="00935694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</w:rPr>
      </w:pP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>ผู้สอบบัญชีรับอนุญาต</w:t>
      </w:r>
    </w:p>
    <w:p w14:paraId="22C7182B" w14:textId="77777777" w:rsidR="00770C39" w:rsidRPr="00935694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  <w:lang w:val="en-US"/>
        </w:rPr>
      </w:pP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 xml:space="preserve">ทะเบียนเลขที่ </w:t>
      </w:r>
      <w:r w:rsidRPr="00935694">
        <w:rPr>
          <w:rFonts w:ascii="BrowalliaUPC" w:hAnsi="BrowalliaUPC" w:cs="BrowalliaUPC"/>
          <w:sz w:val="28"/>
          <w:szCs w:val="28"/>
          <w:lang w:val="en-US" w:bidi="th-TH"/>
        </w:rPr>
        <w:t>9056</w:t>
      </w:r>
    </w:p>
    <w:p w14:paraId="4AF6EC88" w14:textId="77777777" w:rsidR="00770C39" w:rsidRPr="00935694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</w:rPr>
      </w:pPr>
    </w:p>
    <w:p w14:paraId="7DDCFF1C" w14:textId="77777777" w:rsidR="00770C39" w:rsidRPr="00935694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  <w:lang w:bidi="th-TH"/>
        </w:rPr>
      </w:pP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>ธอน</w:t>
      </w:r>
      <w:proofErr w:type="spellEnd"/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>ตัน จำกัด</w:t>
      </w:r>
    </w:p>
    <w:p w14:paraId="2233CFFB" w14:textId="77777777" w:rsidR="00770C39" w:rsidRPr="00935694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>กรุงเทพมหานคร</w:t>
      </w:r>
    </w:p>
    <w:p w14:paraId="38BE9EEF" w14:textId="77777777" w:rsidR="00770C39" w:rsidRPr="00935694" w:rsidRDefault="00770C39" w:rsidP="00770C39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 w:rsidRPr="00935694">
        <w:rPr>
          <w:rFonts w:ascii="BrowalliaUPC" w:hAnsi="BrowalliaUPC" w:cs="BrowalliaUPC"/>
          <w:sz w:val="28"/>
          <w:szCs w:val="28"/>
          <w:lang w:bidi="th-TH"/>
        </w:rPr>
        <w:t>14</w:t>
      </w:r>
      <w:r w:rsidRPr="00935694">
        <w:rPr>
          <w:rFonts w:ascii="BrowalliaUPC" w:hAnsi="BrowalliaUPC" w:cs="BrowalliaUPC"/>
          <w:sz w:val="28"/>
          <w:szCs w:val="28"/>
          <w:cs/>
          <w:lang w:bidi="th-TH"/>
        </w:rPr>
        <w:t xml:space="preserve"> พฤศจิกายน </w:t>
      </w:r>
      <w:r w:rsidRPr="00935694">
        <w:rPr>
          <w:rFonts w:ascii="BrowalliaUPC" w:hAnsi="BrowalliaUPC" w:cs="BrowalliaUPC"/>
          <w:sz w:val="28"/>
          <w:szCs w:val="28"/>
          <w:lang w:bidi="th-TH"/>
        </w:rPr>
        <w:t>2568</w:t>
      </w:r>
    </w:p>
    <w:p w14:paraId="03E40CFF" w14:textId="77777777" w:rsidR="00770C39" w:rsidRPr="00935694" w:rsidRDefault="00770C39" w:rsidP="00770C39">
      <w:pPr>
        <w:jc w:val="thaiDistribute"/>
        <w:rPr>
          <w:rFonts w:ascii="BrowalliaUPC" w:hAnsi="BrowalliaUPC" w:cs="BrowalliaUPC"/>
          <w:color w:val="000000" w:themeColor="text1"/>
          <w:sz w:val="28"/>
          <w:szCs w:val="28"/>
          <w:lang w:val="en-US" w:bidi="th-TH"/>
        </w:rPr>
      </w:pPr>
    </w:p>
    <w:p w14:paraId="76DDC83E" w14:textId="77777777" w:rsidR="00D15EA5" w:rsidRPr="008429F2" w:rsidRDefault="00D15EA5" w:rsidP="00770C39">
      <w:pPr>
        <w:spacing w:after="0" w:line="240" w:lineRule="auto"/>
        <w:jc w:val="thaiDistribute"/>
        <w:rPr>
          <w:rFonts w:ascii="BrowalliaUPC" w:hAnsi="BrowalliaUPC" w:cs="BrowalliaUPC"/>
        </w:rPr>
      </w:pPr>
    </w:p>
    <w:sectPr w:rsidR="00D15EA5" w:rsidRPr="008429F2" w:rsidSect="00904BAE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F05B1" w14:textId="77777777" w:rsidR="00143C9A" w:rsidRDefault="00143C9A">
      <w:r>
        <w:separator/>
      </w:r>
    </w:p>
  </w:endnote>
  <w:endnote w:type="continuationSeparator" w:id="0">
    <w:p w14:paraId="4DF7D41A" w14:textId="77777777" w:rsidR="00143C9A" w:rsidRDefault="00143C9A">
      <w:r>
        <w:continuationSeparator/>
      </w:r>
    </w:p>
  </w:endnote>
  <w:endnote w:type="continuationNotice" w:id="1">
    <w:p w14:paraId="479239D6" w14:textId="77777777" w:rsidR="00143C9A" w:rsidRDefault="00143C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3A3D2" w14:textId="77777777" w:rsidR="00143C9A" w:rsidRDefault="00143C9A">
      <w:bookmarkStart w:id="0" w:name="_Hlk482348182"/>
      <w:bookmarkEnd w:id="0"/>
      <w:r>
        <w:separator/>
      </w:r>
    </w:p>
  </w:footnote>
  <w:footnote w:type="continuationSeparator" w:id="0">
    <w:p w14:paraId="1DB86025" w14:textId="77777777" w:rsidR="00143C9A" w:rsidRDefault="00143C9A">
      <w:r>
        <w:continuationSeparator/>
      </w:r>
    </w:p>
  </w:footnote>
  <w:footnote w:type="continuationNotice" w:id="1">
    <w:p w14:paraId="3B124A42" w14:textId="77777777" w:rsidR="00143C9A" w:rsidRDefault="00143C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AD0D64" w:rsidRDefault="00AD0D6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6C341294" w:rsidR="00AD0D64" w:rsidRDefault="00AD0D64" w:rsidP="00D96128">
    <w:pPr>
      <w:pStyle w:val="Header"/>
      <w:jc w:val="right"/>
    </w:pPr>
  </w:p>
  <w:p w14:paraId="4A9BB6FF" w14:textId="77777777" w:rsidR="00AD0D64" w:rsidRPr="0079502D" w:rsidRDefault="00AD0D64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AD0D64" w:rsidRDefault="00AD0D64" w:rsidP="00D15EA5">
    <w:pPr>
      <w:pStyle w:val="Header"/>
      <w:tabs>
        <w:tab w:val="clear" w:pos="8562"/>
        <w:tab w:val="left" w:pos="5328"/>
      </w:tabs>
      <w:spacing w:after="1418"/>
    </w:pPr>
  </w:p>
  <w:p w14:paraId="62DEE461" w14:textId="4B1CD93D" w:rsidR="00210488" w:rsidRDefault="00AD0D64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auto"/>
        <w:sz w:val="36"/>
        <w:szCs w:val="36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0047683C" w14:textId="6B9C3660" w:rsidR="00AD0D64" w:rsidRPr="001C0F98" w:rsidRDefault="00CA18E0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="00AD0D64"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  <w:bookmarkStart w:id="3" w:name="Footer3_tbl"/>
    <w:bookmarkEnd w:id="3"/>
  </w:p>
  <w:p w14:paraId="4E76693D" w14:textId="73861116" w:rsidR="00AD0D64" w:rsidRPr="00907FD4" w:rsidRDefault="00AD0D64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1081BFE"/>
    <w:multiLevelType w:val="hybridMultilevel"/>
    <w:tmpl w:val="99AA9F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1A933704"/>
    <w:multiLevelType w:val="multilevel"/>
    <w:tmpl w:val="8460F8B0"/>
    <w:numStyleLink w:val="GTTableBullets"/>
  </w:abstractNum>
  <w:abstractNum w:abstractNumId="9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10" w15:restartNumberingAfterBreak="0">
    <w:nsid w:val="235B21F8"/>
    <w:multiLevelType w:val="multilevel"/>
    <w:tmpl w:val="FAE6F968"/>
    <w:numStyleLink w:val="GTListBullet"/>
  </w:abstractNum>
  <w:abstractNum w:abstractNumId="11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35C91C25"/>
    <w:multiLevelType w:val="multilevel"/>
    <w:tmpl w:val="98FC98AC"/>
    <w:numStyleLink w:val="GTListNumber"/>
  </w:abstractNum>
  <w:abstractNum w:abstractNumId="13" w15:restartNumberingAfterBreak="0">
    <w:nsid w:val="37753109"/>
    <w:multiLevelType w:val="hybridMultilevel"/>
    <w:tmpl w:val="CE041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976CF"/>
    <w:multiLevelType w:val="multilevel"/>
    <w:tmpl w:val="98FC98AC"/>
    <w:numStyleLink w:val="GTListNumber"/>
  </w:abstractNum>
  <w:abstractNum w:abstractNumId="15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5DDB5E6E"/>
    <w:multiLevelType w:val="multilevel"/>
    <w:tmpl w:val="FAE6F968"/>
    <w:numStyleLink w:val="GTListBullet"/>
  </w:abstractNum>
  <w:abstractNum w:abstractNumId="17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8" w15:restartNumberingAfterBreak="0">
    <w:nsid w:val="7F924C95"/>
    <w:multiLevelType w:val="multilevel"/>
    <w:tmpl w:val="0D561ACA"/>
    <w:numStyleLink w:val="GTNumberedHeadings"/>
  </w:abstractNum>
  <w:num w:numId="1" w16cid:durableId="89738030">
    <w:abstractNumId w:val="3"/>
  </w:num>
  <w:num w:numId="2" w16cid:durableId="459226935">
    <w:abstractNumId w:val="2"/>
  </w:num>
  <w:num w:numId="3" w16cid:durableId="1103064336">
    <w:abstractNumId w:val="1"/>
  </w:num>
  <w:num w:numId="4" w16cid:durableId="189413675">
    <w:abstractNumId w:val="0"/>
  </w:num>
  <w:num w:numId="5" w16cid:durableId="432944013">
    <w:abstractNumId w:val="7"/>
  </w:num>
  <w:num w:numId="6" w16cid:durableId="1209032266">
    <w:abstractNumId w:val="5"/>
  </w:num>
  <w:num w:numId="7" w16cid:durableId="973291357">
    <w:abstractNumId w:val="11"/>
  </w:num>
  <w:num w:numId="8" w16cid:durableId="335689849">
    <w:abstractNumId w:val="18"/>
  </w:num>
  <w:num w:numId="9" w16cid:durableId="110439486">
    <w:abstractNumId w:val="5"/>
  </w:num>
  <w:num w:numId="10" w16cid:durableId="788206741">
    <w:abstractNumId w:val="17"/>
  </w:num>
  <w:num w:numId="11" w16cid:durableId="1358237565">
    <w:abstractNumId w:val="15"/>
  </w:num>
  <w:num w:numId="12" w16cid:durableId="501237791">
    <w:abstractNumId w:val="4"/>
  </w:num>
  <w:num w:numId="13" w16cid:durableId="327445370">
    <w:abstractNumId w:val="9"/>
  </w:num>
  <w:num w:numId="14" w16cid:durableId="132793093">
    <w:abstractNumId w:val="8"/>
  </w:num>
  <w:num w:numId="15" w16cid:durableId="1099175464">
    <w:abstractNumId w:val="9"/>
  </w:num>
  <w:num w:numId="16" w16cid:durableId="2018656730">
    <w:abstractNumId w:val="10"/>
  </w:num>
  <w:num w:numId="17" w16cid:durableId="328679315">
    <w:abstractNumId w:val="12"/>
  </w:num>
  <w:num w:numId="18" w16cid:durableId="358094974">
    <w:abstractNumId w:val="17"/>
  </w:num>
  <w:num w:numId="19" w16cid:durableId="1685590778">
    <w:abstractNumId w:val="15"/>
  </w:num>
  <w:num w:numId="20" w16cid:durableId="1161964053">
    <w:abstractNumId w:val="4"/>
  </w:num>
  <w:num w:numId="21" w16cid:durableId="537550111">
    <w:abstractNumId w:val="9"/>
  </w:num>
  <w:num w:numId="22" w16cid:durableId="838421999">
    <w:abstractNumId w:val="8"/>
  </w:num>
  <w:num w:numId="23" w16cid:durableId="360513782">
    <w:abstractNumId w:val="8"/>
  </w:num>
  <w:num w:numId="24" w16cid:durableId="1316494803">
    <w:abstractNumId w:val="8"/>
  </w:num>
  <w:num w:numId="25" w16cid:durableId="1615937783">
    <w:abstractNumId w:val="9"/>
  </w:num>
  <w:num w:numId="26" w16cid:durableId="445199684">
    <w:abstractNumId w:val="9"/>
  </w:num>
  <w:num w:numId="27" w16cid:durableId="1864586935">
    <w:abstractNumId w:val="9"/>
  </w:num>
  <w:num w:numId="28" w16cid:durableId="394857113">
    <w:abstractNumId w:val="16"/>
  </w:num>
  <w:num w:numId="29" w16cid:durableId="1710641736">
    <w:abstractNumId w:val="16"/>
  </w:num>
  <w:num w:numId="30" w16cid:durableId="549995441">
    <w:abstractNumId w:val="16"/>
  </w:num>
  <w:num w:numId="31" w16cid:durableId="1147552585">
    <w:abstractNumId w:val="14"/>
  </w:num>
  <w:num w:numId="32" w16cid:durableId="1492527448">
    <w:abstractNumId w:val="14"/>
  </w:num>
  <w:num w:numId="33" w16cid:durableId="451359925">
    <w:abstractNumId w:val="14"/>
  </w:num>
  <w:num w:numId="34" w16cid:durableId="392123222">
    <w:abstractNumId w:val="13"/>
  </w:num>
  <w:num w:numId="35" w16cid:durableId="1872568356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064D"/>
    <w:rsid w:val="00002D0C"/>
    <w:rsid w:val="00002F85"/>
    <w:rsid w:val="00004B8D"/>
    <w:rsid w:val="00006EB1"/>
    <w:rsid w:val="000114DE"/>
    <w:rsid w:val="00012431"/>
    <w:rsid w:val="00013020"/>
    <w:rsid w:val="000162B0"/>
    <w:rsid w:val="00016C25"/>
    <w:rsid w:val="00017AE1"/>
    <w:rsid w:val="0002212A"/>
    <w:rsid w:val="00023F1F"/>
    <w:rsid w:val="00024E46"/>
    <w:rsid w:val="00027765"/>
    <w:rsid w:val="00027C1D"/>
    <w:rsid w:val="0003023B"/>
    <w:rsid w:val="00031683"/>
    <w:rsid w:val="00031D17"/>
    <w:rsid w:val="00034D0B"/>
    <w:rsid w:val="00034ED9"/>
    <w:rsid w:val="000366D5"/>
    <w:rsid w:val="000372A6"/>
    <w:rsid w:val="00044ACE"/>
    <w:rsid w:val="0004550E"/>
    <w:rsid w:val="00052614"/>
    <w:rsid w:val="00057CEE"/>
    <w:rsid w:val="000635FA"/>
    <w:rsid w:val="00063F41"/>
    <w:rsid w:val="00065CA1"/>
    <w:rsid w:val="00066CDE"/>
    <w:rsid w:val="00067A2B"/>
    <w:rsid w:val="00071E04"/>
    <w:rsid w:val="000723F7"/>
    <w:rsid w:val="000740DC"/>
    <w:rsid w:val="00074485"/>
    <w:rsid w:val="00074760"/>
    <w:rsid w:val="000761B7"/>
    <w:rsid w:val="00081C9B"/>
    <w:rsid w:val="000828F1"/>
    <w:rsid w:val="00082F03"/>
    <w:rsid w:val="00082F59"/>
    <w:rsid w:val="000875D8"/>
    <w:rsid w:val="0009067D"/>
    <w:rsid w:val="00094333"/>
    <w:rsid w:val="00094950"/>
    <w:rsid w:val="00097FAB"/>
    <w:rsid w:val="00097FBA"/>
    <w:rsid w:val="000A4716"/>
    <w:rsid w:val="000A51A8"/>
    <w:rsid w:val="000B1B4E"/>
    <w:rsid w:val="000B65E3"/>
    <w:rsid w:val="000B7090"/>
    <w:rsid w:val="000C279D"/>
    <w:rsid w:val="000C795D"/>
    <w:rsid w:val="000D0A2F"/>
    <w:rsid w:val="000D2DBF"/>
    <w:rsid w:val="000D73B4"/>
    <w:rsid w:val="000D7424"/>
    <w:rsid w:val="000E34C3"/>
    <w:rsid w:val="000E52CE"/>
    <w:rsid w:val="000F3AAB"/>
    <w:rsid w:val="000F4387"/>
    <w:rsid w:val="000F50A4"/>
    <w:rsid w:val="000F650B"/>
    <w:rsid w:val="000F6E25"/>
    <w:rsid w:val="000F7B0E"/>
    <w:rsid w:val="001008A1"/>
    <w:rsid w:val="00100B50"/>
    <w:rsid w:val="001011DF"/>
    <w:rsid w:val="001100B9"/>
    <w:rsid w:val="00112B69"/>
    <w:rsid w:val="00114ADD"/>
    <w:rsid w:val="00121D1D"/>
    <w:rsid w:val="001222ED"/>
    <w:rsid w:val="0012382C"/>
    <w:rsid w:val="0013111B"/>
    <w:rsid w:val="001316D3"/>
    <w:rsid w:val="00132F51"/>
    <w:rsid w:val="0013537B"/>
    <w:rsid w:val="00135392"/>
    <w:rsid w:val="00142624"/>
    <w:rsid w:val="00142760"/>
    <w:rsid w:val="00142E5B"/>
    <w:rsid w:val="00143C9A"/>
    <w:rsid w:val="0014401E"/>
    <w:rsid w:val="00147253"/>
    <w:rsid w:val="00147C32"/>
    <w:rsid w:val="001549FC"/>
    <w:rsid w:val="001554CD"/>
    <w:rsid w:val="00155A91"/>
    <w:rsid w:val="0016058E"/>
    <w:rsid w:val="0016076E"/>
    <w:rsid w:val="001613E2"/>
    <w:rsid w:val="00163B1F"/>
    <w:rsid w:val="0016459D"/>
    <w:rsid w:val="00164D00"/>
    <w:rsid w:val="001662BF"/>
    <w:rsid w:val="00167017"/>
    <w:rsid w:val="00167368"/>
    <w:rsid w:val="00167A8C"/>
    <w:rsid w:val="001714BF"/>
    <w:rsid w:val="00171BB1"/>
    <w:rsid w:val="001768C7"/>
    <w:rsid w:val="00182F9F"/>
    <w:rsid w:val="00184BCA"/>
    <w:rsid w:val="00185DD8"/>
    <w:rsid w:val="00191DDA"/>
    <w:rsid w:val="0019210D"/>
    <w:rsid w:val="001924BC"/>
    <w:rsid w:val="001A0B83"/>
    <w:rsid w:val="001A30F8"/>
    <w:rsid w:val="001A322F"/>
    <w:rsid w:val="001A3AC4"/>
    <w:rsid w:val="001A3BFB"/>
    <w:rsid w:val="001A3C20"/>
    <w:rsid w:val="001A5987"/>
    <w:rsid w:val="001A76F7"/>
    <w:rsid w:val="001B198C"/>
    <w:rsid w:val="001B1E7E"/>
    <w:rsid w:val="001B46B0"/>
    <w:rsid w:val="001B5B4A"/>
    <w:rsid w:val="001B726D"/>
    <w:rsid w:val="001B7388"/>
    <w:rsid w:val="001C0F98"/>
    <w:rsid w:val="001C6238"/>
    <w:rsid w:val="001C747A"/>
    <w:rsid w:val="001D2302"/>
    <w:rsid w:val="001D55D5"/>
    <w:rsid w:val="001D7116"/>
    <w:rsid w:val="001D7BB3"/>
    <w:rsid w:val="001D7BB5"/>
    <w:rsid w:val="001E0351"/>
    <w:rsid w:val="001E12A6"/>
    <w:rsid w:val="001E19F4"/>
    <w:rsid w:val="001E3CB9"/>
    <w:rsid w:val="001E498F"/>
    <w:rsid w:val="001F31CE"/>
    <w:rsid w:val="001F50BA"/>
    <w:rsid w:val="001F62E9"/>
    <w:rsid w:val="002027BD"/>
    <w:rsid w:val="002052B1"/>
    <w:rsid w:val="00210488"/>
    <w:rsid w:val="002108C9"/>
    <w:rsid w:val="00214B4B"/>
    <w:rsid w:val="0021742C"/>
    <w:rsid w:val="00224E8A"/>
    <w:rsid w:val="0022518C"/>
    <w:rsid w:val="00227501"/>
    <w:rsid w:val="002303F8"/>
    <w:rsid w:val="00237A7E"/>
    <w:rsid w:val="00241F16"/>
    <w:rsid w:val="00247352"/>
    <w:rsid w:val="00247969"/>
    <w:rsid w:val="00253CE4"/>
    <w:rsid w:val="00260227"/>
    <w:rsid w:val="0026182A"/>
    <w:rsid w:val="00261FA4"/>
    <w:rsid w:val="0026566B"/>
    <w:rsid w:val="00272F15"/>
    <w:rsid w:val="00277EBE"/>
    <w:rsid w:val="00281C48"/>
    <w:rsid w:val="00282350"/>
    <w:rsid w:val="0028369D"/>
    <w:rsid w:val="002838FB"/>
    <w:rsid w:val="00285249"/>
    <w:rsid w:val="00286D58"/>
    <w:rsid w:val="002917F7"/>
    <w:rsid w:val="002966C7"/>
    <w:rsid w:val="0029703D"/>
    <w:rsid w:val="002A252E"/>
    <w:rsid w:val="002A3D1C"/>
    <w:rsid w:val="002A5F2C"/>
    <w:rsid w:val="002A69AF"/>
    <w:rsid w:val="002A76F5"/>
    <w:rsid w:val="002A77C0"/>
    <w:rsid w:val="002A7AE8"/>
    <w:rsid w:val="002B0BF8"/>
    <w:rsid w:val="002B18AD"/>
    <w:rsid w:val="002B2A6F"/>
    <w:rsid w:val="002B5A4A"/>
    <w:rsid w:val="002C303B"/>
    <w:rsid w:val="002C532F"/>
    <w:rsid w:val="002C5618"/>
    <w:rsid w:val="002C623D"/>
    <w:rsid w:val="002D1A85"/>
    <w:rsid w:val="002D28A8"/>
    <w:rsid w:val="002D5A0F"/>
    <w:rsid w:val="002D5B00"/>
    <w:rsid w:val="002D6E25"/>
    <w:rsid w:val="002E02F4"/>
    <w:rsid w:val="002E03E3"/>
    <w:rsid w:val="002E0B07"/>
    <w:rsid w:val="002E53CD"/>
    <w:rsid w:val="002E7F1E"/>
    <w:rsid w:val="002F1908"/>
    <w:rsid w:val="002F2DEB"/>
    <w:rsid w:val="002F35D1"/>
    <w:rsid w:val="002F3903"/>
    <w:rsid w:val="002F4A52"/>
    <w:rsid w:val="002F7D90"/>
    <w:rsid w:val="0030026A"/>
    <w:rsid w:val="00305173"/>
    <w:rsid w:val="00305744"/>
    <w:rsid w:val="00310AAB"/>
    <w:rsid w:val="00311B26"/>
    <w:rsid w:val="00312125"/>
    <w:rsid w:val="00312CC0"/>
    <w:rsid w:val="00313EE1"/>
    <w:rsid w:val="00314638"/>
    <w:rsid w:val="0031580C"/>
    <w:rsid w:val="003219BB"/>
    <w:rsid w:val="00321A76"/>
    <w:rsid w:val="003304A5"/>
    <w:rsid w:val="00335E5B"/>
    <w:rsid w:val="003374D1"/>
    <w:rsid w:val="00347616"/>
    <w:rsid w:val="00347B97"/>
    <w:rsid w:val="003516CB"/>
    <w:rsid w:val="00354F5D"/>
    <w:rsid w:val="00360A0B"/>
    <w:rsid w:val="003618A8"/>
    <w:rsid w:val="00363BA3"/>
    <w:rsid w:val="00364205"/>
    <w:rsid w:val="00365380"/>
    <w:rsid w:val="00365ECE"/>
    <w:rsid w:val="003667E9"/>
    <w:rsid w:val="003744DA"/>
    <w:rsid w:val="00375D30"/>
    <w:rsid w:val="00376F89"/>
    <w:rsid w:val="00384904"/>
    <w:rsid w:val="00386936"/>
    <w:rsid w:val="00392FC4"/>
    <w:rsid w:val="003960B9"/>
    <w:rsid w:val="003A07F8"/>
    <w:rsid w:val="003A25D5"/>
    <w:rsid w:val="003A29C7"/>
    <w:rsid w:val="003A46D5"/>
    <w:rsid w:val="003B2346"/>
    <w:rsid w:val="003B4CCD"/>
    <w:rsid w:val="003B4DED"/>
    <w:rsid w:val="003B5211"/>
    <w:rsid w:val="003B5CA6"/>
    <w:rsid w:val="003C08B4"/>
    <w:rsid w:val="003C109A"/>
    <w:rsid w:val="003C12C5"/>
    <w:rsid w:val="003C21BE"/>
    <w:rsid w:val="003C27EF"/>
    <w:rsid w:val="003C32E9"/>
    <w:rsid w:val="003C3898"/>
    <w:rsid w:val="003C440A"/>
    <w:rsid w:val="003C4A1E"/>
    <w:rsid w:val="003C6044"/>
    <w:rsid w:val="003D0AD8"/>
    <w:rsid w:val="003D2605"/>
    <w:rsid w:val="003D35B6"/>
    <w:rsid w:val="003D4087"/>
    <w:rsid w:val="003D64D6"/>
    <w:rsid w:val="003E034A"/>
    <w:rsid w:val="003E1AE5"/>
    <w:rsid w:val="003E24E4"/>
    <w:rsid w:val="003E3E21"/>
    <w:rsid w:val="003E68AD"/>
    <w:rsid w:val="003F1162"/>
    <w:rsid w:val="003F13B5"/>
    <w:rsid w:val="003F50FE"/>
    <w:rsid w:val="004008AF"/>
    <w:rsid w:val="00411510"/>
    <w:rsid w:val="00416281"/>
    <w:rsid w:val="00421123"/>
    <w:rsid w:val="00422353"/>
    <w:rsid w:val="00426915"/>
    <w:rsid w:val="00426EEB"/>
    <w:rsid w:val="00426FF0"/>
    <w:rsid w:val="00433F63"/>
    <w:rsid w:val="00435788"/>
    <w:rsid w:val="004359E6"/>
    <w:rsid w:val="004360A3"/>
    <w:rsid w:val="00436C11"/>
    <w:rsid w:val="00440D8F"/>
    <w:rsid w:val="0044207A"/>
    <w:rsid w:val="00443CE3"/>
    <w:rsid w:val="0044496E"/>
    <w:rsid w:val="00452033"/>
    <w:rsid w:val="004527CA"/>
    <w:rsid w:val="00452E7B"/>
    <w:rsid w:val="004546FA"/>
    <w:rsid w:val="0045582B"/>
    <w:rsid w:val="00456EA9"/>
    <w:rsid w:val="00457094"/>
    <w:rsid w:val="00462BCB"/>
    <w:rsid w:val="00463728"/>
    <w:rsid w:val="00473CE1"/>
    <w:rsid w:val="0047768B"/>
    <w:rsid w:val="00481FE7"/>
    <w:rsid w:val="00485312"/>
    <w:rsid w:val="0048532C"/>
    <w:rsid w:val="004855B6"/>
    <w:rsid w:val="0048661E"/>
    <w:rsid w:val="00487E39"/>
    <w:rsid w:val="00487E84"/>
    <w:rsid w:val="004902ED"/>
    <w:rsid w:val="0049103F"/>
    <w:rsid w:val="00493E9E"/>
    <w:rsid w:val="0049681A"/>
    <w:rsid w:val="004A0DFE"/>
    <w:rsid w:val="004A3C62"/>
    <w:rsid w:val="004A49BC"/>
    <w:rsid w:val="004B3CDE"/>
    <w:rsid w:val="004B4736"/>
    <w:rsid w:val="004C06F6"/>
    <w:rsid w:val="004C0971"/>
    <w:rsid w:val="004C0C25"/>
    <w:rsid w:val="004C2111"/>
    <w:rsid w:val="004C5D82"/>
    <w:rsid w:val="004C732E"/>
    <w:rsid w:val="004C7919"/>
    <w:rsid w:val="004D20AE"/>
    <w:rsid w:val="004D3578"/>
    <w:rsid w:val="004D4A2E"/>
    <w:rsid w:val="004D6145"/>
    <w:rsid w:val="004E0D18"/>
    <w:rsid w:val="004E2066"/>
    <w:rsid w:val="004E5FDF"/>
    <w:rsid w:val="004E71AC"/>
    <w:rsid w:val="004E7315"/>
    <w:rsid w:val="004F12BE"/>
    <w:rsid w:val="004F1A16"/>
    <w:rsid w:val="004F207F"/>
    <w:rsid w:val="004F30A5"/>
    <w:rsid w:val="004F43AF"/>
    <w:rsid w:val="004F56BD"/>
    <w:rsid w:val="004F5D91"/>
    <w:rsid w:val="005070FA"/>
    <w:rsid w:val="00507655"/>
    <w:rsid w:val="005134EB"/>
    <w:rsid w:val="005139E3"/>
    <w:rsid w:val="00516A22"/>
    <w:rsid w:val="00517C9A"/>
    <w:rsid w:val="0052186A"/>
    <w:rsid w:val="0052292D"/>
    <w:rsid w:val="00522FD3"/>
    <w:rsid w:val="00523D2D"/>
    <w:rsid w:val="0053166E"/>
    <w:rsid w:val="005321DA"/>
    <w:rsid w:val="00535B36"/>
    <w:rsid w:val="0054553D"/>
    <w:rsid w:val="00546F78"/>
    <w:rsid w:val="00547541"/>
    <w:rsid w:val="00551365"/>
    <w:rsid w:val="00553BAD"/>
    <w:rsid w:val="005627FF"/>
    <w:rsid w:val="00565186"/>
    <w:rsid w:val="00566D1D"/>
    <w:rsid w:val="0057118B"/>
    <w:rsid w:val="0057471D"/>
    <w:rsid w:val="00575EF4"/>
    <w:rsid w:val="00576B4B"/>
    <w:rsid w:val="005778A4"/>
    <w:rsid w:val="00577D61"/>
    <w:rsid w:val="005822AC"/>
    <w:rsid w:val="00583F0D"/>
    <w:rsid w:val="00584B84"/>
    <w:rsid w:val="005855AA"/>
    <w:rsid w:val="005875F3"/>
    <w:rsid w:val="00591F0D"/>
    <w:rsid w:val="00593EF7"/>
    <w:rsid w:val="0059631B"/>
    <w:rsid w:val="0059692E"/>
    <w:rsid w:val="005A07F3"/>
    <w:rsid w:val="005A29D0"/>
    <w:rsid w:val="005A2DD3"/>
    <w:rsid w:val="005A4EAC"/>
    <w:rsid w:val="005A5E70"/>
    <w:rsid w:val="005A6337"/>
    <w:rsid w:val="005B405A"/>
    <w:rsid w:val="005B48CB"/>
    <w:rsid w:val="005C08C6"/>
    <w:rsid w:val="005C2CCB"/>
    <w:rsid w:val="005C5EC4"/>
    <w:rsid w:val="005C6479"/>
    <w:rsid w:val="005C69FD"/>
    <w:rsid w:val="005C71CD"/>
    <w:rsid w:val="005D4814"/>
    <w:rsid w:val="005D7025"/>
    <w:rsid w:val="005E2D67"/>
    <w:rsid w:val="005E4137"/>
    <w:rsid w:val="005E4B76"/>
    <w:rsid w:val="005E5578"/>
    <w:rsid w:val="005F09CE"/>
    <w:rsid w:val="005F4D62"/>
    <w:rsid w:val="005F7C66"/>
    <w:rsid w:val="0060216B"/>
    <w:rsid w:val="00604F0D"/>
    <w:rsid w:val="00610ED7"/>
    <w:rsid w:val="006130A9"/>
    <w:rsid w:val="006147CF"/>
    <w:rsid w:val="00614981"/>
    <w:rsid w:val="00614D32"/>
    <w:rsid w:val="00615389"/>
    <w:rsid w:val="00617E53"/>
    <w:rsid w:val="00620CE3"/>
    <w:rsid w:val="00621086"/>
    <w:rsid w:val="0062208C"/>
    <w:rsid w:val="0063309C"/>
    <w:rsid w:val="00633194"/>
    <w:rsid w:val="00634D49"/>
    <w:rsid w:val="006365A1"/>
    <w:rsid w:val="00636AA2"/>
    <w:rsid w:val="006374AD"/>
    <w:rsid w:val="0064373B"/>
    <w:rsid w:val="00643BB8"/>
    <w:rsid w:val="006501EC"/>
    <w:rsid w:val="00653B85"/>
    <w:rsid w:val="00656E06"/>
    <w:rsid w:val="00662588"/>
    <w:rsid w:val="00666764"/>
    <w:rsid w:val="0066694B"/>
    <w:rsid w:val="0066701E"/>
    <w:rsid w:val="00667DB6"/>
    <w:rsid w:val="00672496"/>
    <w:rsid w:val="00674F54"/>
    <w:rsid w:val="006771E8"/>
    <w:rsid w:val="00677C01"/>
    <w:rsid w:val="00683934"/>
    <w:rsid w:val="00683CC7"/>
    <w:rsid w:val="00684C1E"/>
    <w:rsid w:val="00686F72"/>
    <w:rsid w:val="006872EE"/>
    <w:rsid w:val="00691D9A"/>
    <w:rsid w:val="00692CA5"/>
    <w:rsid w:val="006932D7"/>
    <w:rsid w:val="00696C42"/>
    <w:rsid w:val="006A1882"/>
    <w:rsid w:val="006A1C6A"/>
    <w:rsid w:val="006A3B2F"/>
    <w:rsid w:val="006A4B03"/>
    <w:rsid w:val="006A52AD"/>
    <w:rsid w:val="006A736B"/>
    <w:rsid w:val="006B06A2"/>
    <w:rsid w:val="006B0F65"/>
    <w:rsid w:val="006C3D37"/>
    <w:rsid w:val="006C6376"/>
    <w:rsid w:val="006D472A"/>
    <w:rsid w:val="006D6FF5"/>
    <w:rsid w:val="006E5FBA"/>
    <w:rsid w:val="006F1B19"/>
    <w:rsid w:val="006F29ED"/>
    <w:rsid w:val="006F32B6"/>
    <w:rsid w:val="006F4F77"/>
    <w:rsid w:val="006F53EE"/>
    <w:rsid w:val="006F68CE"/>
    <w:rsid w:val="0070147C"/>
    <w:rsid w:val="00702452"/>
    <w:rsid w:val="007064E7"/>
    <w:rsid w:val="00714FD6"/>
    <w:rsid w:val="00715969"/>
    <w:rsid w:val="0072152D"/>
    <w:rsid w:val="00723E17"/>
    <w:rsid w:val="007265F7"/>
    <w:rsid w:val="00726C03"/>
    <w:rsid w:val="00731894"/>
    <w:rsid w:val="00733D7D"/>
    <w:rsid w:val="00737308"/>
    <w:rsid w:val="007405A3"/>
    <w:rsid w:val="007414FC"/>
    <w:rsid w:val="00741770"/>
    <w:rsid w:val="0074508D"/>
    <w:rsid w:val="00746796"/>
    <w:rsid w:val="00746D91"/>
    <w:rsid w:val="00750257"/>
    <w:rsid w:val="00751794"/>
    <w:rsid w:val="00752244"/>
    <w:rsid w:val="00754D45"/>
    <w:rsid w:val="0075598A"/>
    <w:rsid w:val="00755C92"/>
    <w:rsid w:val="00761813"/>
    <w:rsid w:val="0076333F"/>
    <w:rsid w:val="00765E32"/>
    <w:rsid w:val="00770C39"/>
    <w:rsid w:val="00771B85"/>
    <w:rsid w:val="00773E52"/>
    <w:rsid w:val="00775DA6"/>
    <w:rsid w:val="007760AC"/>
    <w:rsid w:val="0078170A"/>
    <w:rsid w:val="007839E9"/>
    <w:rsid w:val="00790956"/>
    <w:rsid w:val="007933FE"/>
    <w:rsid w:val="0079502D"/>
    <w:rsid w:val="007A0755"/>
    <w:rsid w:val="007A31D9"/>
    <w:rsid w:val="007A46E9"/>
    <w:rsid w:val="007A6E91"/>
    <w:rsid w:val="007A74F9"/>
    <w:rsid w:val="007B3B41"/>
    <w:rsid w:val="007B5B02"/>
    <w:rsid w:val="007B6D21"/>
    <w:rsid w:val="007B7834"/>
    <w:rsid w:val="007C0DED"/>
    <w:rsid w:val="007C1DF1"/>
    <w:rsid w:val="007C26D2"/>
    <w:rsid w:val="007C3274"/>
    <w:rsid w:val="007C6354"/>
    <w:rsid w:val="007D146A"/>
    <w:rsid w:val="007D1B3A"/>
    <w:rsid w:val="007D2D60"/>
    <w:rsid w:val="007D3B75"/>
    <w:rsid w:val="007D41A1"/>
    <w:rsid w:val="007D52DD"/>
    <w:rsid w:val="007D6CD8"/>
    <w:rsid w:val="007E5F16"/>
    <w:rsid w:val="007E6C3B"/>
    <w:rsid w:val="007F21E5"/>
    <w:rsid w:val="007F5427"/>
    <w:rsid w:val="00801819"/>
    <w:rsid w:val="008033D0"/>
    <w:rsid w:val="00803FB6"/>
    <w:rsid w:val="008059EF"/>
    <w:rsid w:val="00806118"/>
    <w:rsid w:val="00812755"/>
    <w:rsid w:val="008128F7"/>
    <w:rsid w:val="00812938"/>
    <w:rsid w:val="008135B7"/>
    <w:rsid w:val="00815DFB"/>
    <w:rsid w:val="008211C6"/>
    <w:rsid w:val="00822391"/>
    <w:rsid w:val="0082244F"/>
    <w:rsid w:val="00825747"/>
    <w:rsid w:val="00827B71"/>
    <w:rsid w:val="008303C7"/>
    <w:rsid w:val="00830DAC"/>
    <w:rsid w:val="0083134C"/>
    <w:rsid w:val="00832F51"/>
    <w:rsid w:val="00834CFC"/>
    <w:rsid w:val="00837B54"/>
    <w:rsid w:val="00840F58"/>
    <w:rsid w:val="008429F2"/>
    <w:rsid w:val="00843100"/>
    <w:rsid w:val="00844290"/>
    <w:rsid w:val="008459F6"/>
    <w:rsid w:val="00846796"/>
    <w:rsid w:val="00847054"/>
    <w:rsid w:val="00850F25"/>
    <w:rsid w:val="008534AA"/>
    <w:rsid w:val="0085385A"/>
    <w:rsid w:val="008541C2"/>
    <w:rsid w:val="00861242"/>
    <w:rsid w:val="008622D3"/>
    <w:rsid w:val="008719C2"/>
    <w:rsid w:val="008735B0"/>
    <w:rsid w:val="00877802"/>
    <w:rsid w:val="00880A55"/>
    <w:rsid w:val="008835F6"/>
    <w:rsid w:val="00884701"/>
    <w:rsid w:val="00884B24"/>
    <w:rsid w:val="00884F46"/>
    <w:rsid w:val="00884FF7"/>
    <w:rsid w:val="008877BA"/>
    <w:rsid w:val="00890E89"/>
    <w:rsid w:val="00891488"/>
    <w:rsid w:val="00894ACE"/>
    <w:rsid w:val="008A1AAF"/>
    <w:rsid w:val="008A769F"/>
    <w:rsid w:val="008B1280"/>
    <w:rsid w:val="008B19D9"/>
    <w:rsid w:val="008B1FD3"/>
    <w:rsid w:val="008B204B"/>
    <w:rsid w:val="008C03B2"/>
    <w:rsid w:val="008C3F72"/>
    <w:rsid w:val="008C4538"/>
    <w:rsid w:val="008C49AE"/>
    <w:rsid w:val="008C59F7"/>
    <w:rsid w:val="008C63D1"/>
    <w:rsid w:val="008D19A9"/>
    <w:rsid w:val="008D2059"/>
    <w:rsid w:val="008D7E6D"/>
    <w:rsid w:val="008E7687"/>
    <w:rsid w:val="008E7C6B"/>
    <w:rsid w:val="008F07E9"/>
    <w:rsid w:val="008F0E3C"/>
    <w:rsid w:val="008F11FA"/>
    <w:rsid w:val="008F33AE"/>
    <w:rsid w:val="008F4ACA"/>
    <w:rsid w:val="008F4D9A"/>
    <w:rsid w:val="008F65E2"/>
    <w:rsid w:val="0090107D"/>
    <w:rsid w:val="00903D83"/>
    <w:rsid w:val="00904B11"/>
    <w:rsid w:val="00904BAE"/>
    <w:rsid w:val="00907FD4"/>
    <w:rsid w:val="00910850"/>
    <w:rsid w:val="0091171C"/>
    <w:rsid w:val="00912F98"/>
    <w:rsid w:val="0091327B"/>
    <w:rsid w:val="009146B8"/>
    <w:rsid w:val="009150E8"/>
    <w:rsid w:val="00917FBB"/>
    <w:rsid w:val="009219CA"/>
    <w:rsid w:val="009223D3"/>
    <w:rsid w:val="00925880"/>
    <w:rsid w:val="00925A5C"/>
    <w:rsid w:val="00927212"/>
    <w:rsid w:val="00930BCE"/>
    <w:rsid w:val="00931D7A"/>
    <w:rsid w:val="009336F5"/>
    <w:rsid w:val="009349B8"/>
    <w:rsid w:val="00934CF8"/>
    <w:rsid w:val="00935D8D"/>
    <w:rsid w:val="00940B02"/>
    <w:rsid w:val="009417D4"/>
    <w:rsid w:val="00942FC5"/>
    <w:rsid w:val="00942FE8"/>
    <w:rsid w:val="00943A22"/>
    <w:rsid w:val="009453D1"/>
    <w:rsid w:val="00956631"/>
    <w:rsid w:val="00957E70"/>
    <w:rsid w:val="00963903"/>
    <w:rsid w:val="00970DAB"/>
    <w:rsid w:val="009725DB"/>
    <w:rsid w:val="0097306F"/>
    <w:rsid w:val="0097321D"/>
    <w:rsid w:val="00973827"/>
    <w:rsid w:val="00973D0C"/>
    <w:rsid w:val="00975574"/>
    <w:rsid w:val="009822DC"/>
    <w:rsid w:val="00985C93"/>
    <w:rsid w:val="0099084B"/>
    <w:rsid w:val="009919C7"/>
    <w:rsid w:val="00991B4F"/>
    <w:rsid w:val="00992531"/>
    <w:rsid w:val="00994176"/>
    <w:rsid w:val="00994382"/>
    <w:rsid w:val="00994CC4"/>
    <w:rsid w:val="00995CD5"/>
    <w:rsid w:val="0099694F"/>
    <w:rsid w:val="00997F51"/>
    <w:rsid w:val="009A069D"/>
    <w:rsid w:val="009A1787"/>
    <w:rsid w:val="009A3F5F"/>
    <w:rsid w:val="009A4ECD"/>
    <w:rsid w:val="009A4F5A"/>
    <w:rsid w:val="009A73BE"/>
    <w:rsid w:val="009A7786"/>
    <w:rsid w:val="009A7910"/>
    <w:rsid w:val="009B1F44"/>
    <w:rsid w:val="009B3183"/>
    <w:rsid w:val="009B3753"/>
    <w:rsid w:val="009B4573"/>
    <w:rsid w:val="009C002A"/>
    <w:rsid w:val="009C0FC8"/>
    <w:rsid w:val="009C1B8F"/>
    <w:rsid w:val="009D5A9C"/>
    <w:rsid w:val="009E278C"/>
    <w:rsid w:val="009E411A"/>
    <w:rsid w:val="009E442A"/>
    <w:rsid w:val="009E6DEC"/>
    <w:rsid w:val="009F098B"/>
    <w:rsid w:val="009F4D4C"/>
    <w:rsid w:val="009F5F76"/>
    <w:rsid w:val="009F6888"/>
    <w:rsid w:val="009F6EDC"/>
    <w:rsid w:val="00A0102D"/>
    <w:rsid w:val="00A02D68"/>
    <w:rsid w:val="00A035CE"/>
    <w:rsid w:val="00A0537F"/>
    <w:rsid w:val="00A0602E"/>
    <w:rsid w:val="00A06C1F"/>
    <w:rsid w:val="00A07FFA"/>
    <w:rsid w:val="00A11FB4"/>
    <w:rsid w:val="00A13E4C"/>
    <w:rsid w:val="00A1550B"/>
    <w:rsid w:val="00A17B12"/>
    <w:rsid w:val="00A17EB2"/>
    <w:rsid w:val="00A21134"/>
    <w:rsid w:val="00A269BF"/>
    <w:rsid w:val="00A27BFF"/>
    <w:rsid w:val="00A30D5D"/>
    <w:rsid w:val="00A33D29"/>
    <w:rsid w:val="00A35782"/>
    <w:rsid w:val="00A362F9"/>
    <w:rsid w:val="00A3765A"/>
    <w:rsid w:val="00A3798F"/>
    <w:rsid w:val="00A42B41"/>
    <w:rsid w:val="00A43EE6"/>
    <w:rsid w:val="00A4585A"/>
    <w:rsid w:val="00A47B24"/>
    <w:rsid w:val="00A56821"/>
    <w:rsid w:val="00A60F49"/>
    <w:rsid w:val="00A61E15"/>
    <w:rsid w:val="00A6684F"/>
    <w:rsid w:val="00A66F91"/>
    <w:rsid w:val="00A700FF"/>
    <w:rsid w:val="00A70229"/>
    <w:rsid w:val="00A70C00"/>
    <w:rsid w:val="00A70C3A"/>
    <w:rsid w:val="00A712D3"/>
    <w:rsid w:val="00A80956"/>
    <w:rsid w:val="00A81AFE"/>
    <w:rsid w:val="00A87C6A"/>
    <w:rsid w:val="00A918D1"/>
    <w:rsid w:val="00A93A9A"/>
    <w:rsid w:val="00A93D2D"/>
    <w:rsid w:val="00A94044"/>
    <w:rsid w:val="00A94B92"/>
    <w:rsid w:val="00A959F8"/>
    <w:rsid w:val="00A95A5B"/>
    <w:rsid w:val="00A971A5"/>
    <w:rsid w:val="00AA0745"/>
    <w:rsid w:val="00AA219C"/>
    <w:rsid w:val="00AA5C16"/>
    <w:rsid w:val="00AB10EA"/>
    <w:rsid w:val="00AB5039"/>
    <w:rsid w:val="00AC11C7"/>
    <w:rsid w:val="00AC31D4"/>
    <w:rsid w:val="00AC360A"/>
    <w:rsid w:val="00AC6098"/>
    <w:rsid w:val="00AD0D64"/>
    <w:rsid w:val="00AD1304"/>
    <w:rsid w:val="00AD1BEE"/>
    <w:rsid w:val="00AD211D"/>
    <w:rsid w:val="00AD243A"/>
    <w:rsid w:val="00AD382F"/>
    <w:rsid w:val="00AD3B26"/>
    <w:rsid w:val="00AD41B1"/>
    <w:rsid w:val="00AD4D71"/>
    <w:rsid w:val="00AD509F"/>
    <w:rsid w:val="00AD764D"/>
    <w:rsid w:val="00AE0B30"/>
    <w:rsid w:val="00AE2BD8"/>
    <w:rsid w:val="00AE2BF6"/>
    <w:rsid w:val="00AE3370"/>
    <w:rsid w:val="00AE35CA"/>
    <w:rsid w:val="00AE4185"/>
    <w:rsid w:val="00AE64CA"/>
    <w:rsid w:val="00AE6B26"/>
    <w:rsid w:val="00AF4DF4"/>
    <w:rsid w:val="00AF6036"/>
    <w:rsid w:val="00AF7092"/>
    <w:rsid w:val="00B06BB6"/>
    <w:rsid w:val="00B12B03"/>
    <w:rsid w:val="00B1324D"/>
    <w:rsid w:val="00B157E2"/>
    <w:rsid w:val="00B1718D"/>
    <w:rsid w:val="00B17A73"/>
    <w:rsid w:val="00B22965"/>
    <w:rsid w:val="00B24A45"/>
    <w:rsid w:val="00B25B92"/>
    <w:rsid w:val="00B26948"/>
    <w:rsid w:val="00B26E67"/>
    <w:rsid w:val="00B34D51"/>
    <w:rsid w:val="00B36A0E"/>
    <w:rsid w:val="00B36BA1"/>
    <w:rsid w:val="00B36C70"/>
    <w:rsid w:val="00B37051"/>
    <w:rsid w:val="00B40D67"/>
    <w:rsid w:val="00B4201E"/>
    <w:rsid w:val="00B43882"/>
    <w:rsid w:val="00B43C45"/>
    <w:rsid w:val="00B47221"/>
    <w:rsid w:val="00B473F7"/>
    <w:rsid w:val="00B53AA9"/>
    <w:rsid w:val="00B54D25"/>
    <w:rsid w:val="00B55A93"/>
    <w:rsid w:val="00B55EE8"/>
    <w:rsid w:val="00B56E6C"/>
    <w:rsid w:val="00B57829"/>
    <w:rsid w:val="00B57904"/>
    <w:rsid w:val="00B601EC"/>
    <w:rsid w:val="00B61E15"/>
    <w:rsid w:val="00B63D0E"/>
    <w:rsid w:val="00B67CDA"/>
    <w:rsid w:val="00B70285"/>
    <w:rsid w:val="00B714C9"/>
    <w:rsid w:val="00B80F82"/>
    <w:rsid w:val="00B82A97"/>
    <w:rsid w:val="00B82B45"/>
    <w:rsid w:val="00B83039"/>
    <w:rsid w:val="00B837A9"/>
    <w:rsid w:val="00B84D6A"/>
    <w:rsid w:val="00B870FC"/>
    <w:rsid w:val="00BA198A"/>
    <w:rsid w:val="00BA2561"/>
    <w:rsid w:val="00BA2EB0"/>
    <w:rsid w:val="00BA34A6"/>
    <w:rsid w:val="00BA3B14"/>
    <w:rsid w:val="00BA4F03"/>
    <w:rsid w:val="00BA5B00"/>
    <w:rsid w:val="00BB1048"/>
    <w:rsid w:val="00BB1A07"/>
    <w:rsid w:val="00BB6DAD"/>
    <w:rsid w:val="00BB7346"/>
    <w:rsid w:val="00BC1555"/>
    <w:rsid w:val="00BC60A9"/>
    <w:rsid w:val="00BC612C"/>
    <w:rsid w:val="00BD1B7B"/>
    <w:rsid w:val="00BE0C8A"/>
    <w:rsid w:val="00BE0D70"/>
    <w:rsid w:val="00BE334D"/>
    <w:rsid w:val="00BE4988"/>
    <w:rsid w:val="00BE7883"/>
    <w:rsid w:val="00BF1C24"/>
    <w:rsid w:val="00BF5E73"/>
    <w:rsid w:val="00C0299A"/>
    <w:rsid w:val="00C03386"/>
    <w:rsid w:val="00C03900"/>
    <w:rsid w:val="00C04C19"/>
    <w:rsid w:val="00C0575F"/>
    <w:rsid w:val="00C06939"/>
    <w:rsid w:val="00C14F0E"/>
    <w:rsid w:val="00C16D6E"/>
    <w:rsid w:val="00C17227"/>
    <w:rsid w:val="00C173BF"/>
    <w:rsid w:val="00C209C1"/>
    <w:rsid w:val="00C20EF9"/>
    <w:rsid w:val="00C21E3B"/>
    <w:rsid w:val="00C23A4C"/>
    <w:rsid w:val="00C321F4"/>
    <w:rsid w:val="00C34343"/>
    <w:rsid w:val="00C35B1A"/>
    <w:rsid w:val="00C41BBA"/>
    <w:rsid w:val="00C41C7D"/>
    <w:rsid w:val="00C47428"/>
    <w:rsid w:val="00C47E73"/>
    <w:rsid w:val="00C502C2"/>
    <w:rsid w:val="00C55D2D"/>
    <w:rsid w:val="00C60E77"/>
    <w:rsid w:val="00C61E93"/>
    <w:rsid w:val="00C63023"/>
    <w:rsid w:val="00C63743"/>
    <w:rsid w:val="00C67337"/>
    <w:rsid w:val="00C7292B"/>
    <w:rsid w:val="00C76C6C"/>
    <w:rsid w:val="00C80EC5"/>
    <w:rsid w:val="00C85669"/>
    <w:rsid w:val="00C85991"/>
    <w:rsid w:val="00C8653C"/>
    <w:rsid w:val="00C86BB9"/>
    <w:rsid w:val="00C8772C"/>
    <w:rsid w:val="00C87B6E"/>
    <w:rsid w:val="00C912F6"/>
    <w:rsid w:val="00C92326"/>
    <w:rsid w:val="00C952FE"/>
    <w:rsid w:val="00CA18E0"/>
    <w:rsid w:val="00CA2E34"/>
    <w:rsid w:val="00CA43FD"/>
    <w:rsid w:val="00CA53F3"/>
    <w:rsid w:val="00CB18EB"/>
    <w:rsid w:val="00CB335B"/>
    <w:rsid w:val="00CB441E"/>
    <w:rsid w:val="00CC0660"/>
    <w:rsid w:val="00CC0AFE"/>
    <w:rsid w:val="00CC1204"/>
    <w:rsid w:val="00CC7227"/>
    <w:rsid w:val="00CC72E9"/>
    <w:rsid w:val="00CD25C2"/>
    <w:rsid w:val="00CD4D4E"/>
    <w:rsid w:val="00CD4F3D"/>
    <w:rsid w:val="00CE1668"/>
    <w:rsid w:val="00CE1E9F"/>
    <w:rsid w:val="00CE24E5"/>
    <w:rsid w:val="00CE383E"/>
    <w:rsid w:val="00CE3C34"/>
    <w:rsid w:val="00CE41DB"/>
    <w:rsid w:val="00CE45AF"/>
    <w:rsid w:val="00CE4D96"/>
    <w:rsid w:val="00CE520E"/>
    <w:rsid w:val="00CE6407"/>
    <w:rsid w:val="00CF04AA"/>
    <w:rsid w:val="00CF1B8D"/>
    <w:rsid w:val="00CF1EA0"/>
    <w:rsid w:val="00CF6531"/>
    <w:rsid w:val="00CF68D3"/>
    <w:rsid w:val="00D01E4E"/>
    <w:rsid w:val="00D047D5"/>
    <w:rsid w:val="00D052DA"/>
    <w:rsid w:val="00D060D3"/>
    <w:rsid w:val="00D078C4"/>
    <w:rsid w:val="00D10079"/>
    <w:rsid w:val="00D13848"/>
    <w:rsid w:val="00D15EA5"/>
    <w:rsid w:val="00D17847"/>
    <w:rsid w:val="00D2100B"/>
    <w:rsid w:val="00D235A4"/>
    <w:rsid w:val="00D24220"/>
    <w:rsid w:val="00D27A34"/>
    <w:rsid w:val="00D3089E"/>
    <w:rsid w:val="00D31D7A"/>
    <w:rsid w:val="00D33E60"/>
    <w:rsid w:val="00D4260C"/>
    <w:rsid w:val="00D460E7"/>
    <w:rsid w:val="00D46279"/>
    <w:rsid w:val="00D465B0"/>
    <w:rsid w:val="00D5002A"/>
    <w:rsid w:val="00D501E5"/>
    <w:rsid w:val="00D555E9"/>
    <w:rsid w:val="00D60EDE"/>
    <w:rsid w:val="00D63ABC"/>
    <w:rsid w:val="00D643B7"/>
    <w:rsid w:val="00D65332"/>
    <w:rsid w:val="00D67117"/>
    <w:rsid w:val="00D675F1"/>
    <w:rsid w:val="00D67745"/>
    <w:rsid w:val="00D707A5"/>
    <w:rsid w:val="00D70A3A"/>
    <w:rsid w:val="00D70D48"/>
    <w:rsid w:val="00D73B96"/>
    <w:rsid w:val="00D755ED"/>
    <w:rsid w:val="00D75D3F"/>
    <w:rsid w:val="00D80807"/>
    <w:rsid w:val="00D85FC1"/>
    <w:rsid w:val="00D86917"/>
    <w:rsid w:val="00D90788"/>
    <w:rsid w:val="00D92F9A"/>
    <w:rsid w:val="00D9427D"/>
    <w:rsid w:val="00D96128"/>
    <w:rsid w:val="00DA0F3A"/>
    <w:rsid w:val="00DA36EE"/>
    <w:rsid w:val="00DA3AA8"/>
    <w:rsid w:val="00DA452E"/>
    <w:rsid w:val="00DA5128"/>
    <w:rsid w:val="00DA6E31"/>
    <w:rsid w:val="00DB308D"/>
    <w:rsid w:val="00DB5F40"/>
    <w:rsid w:val="00DC0472"/>
    <w:rsid w:val="00DC3B6C"/>
    <w:rsid w:val="00DC4D88"/>
    <w:rsid w:val="00DD1E47"/>
    <w:rsid w:val="00DD61A9"/>
    <w:rsid w:val="00DD6EF1"/>
    <w:rsid w:val="00DE4958"/>
    <w:rsid w:val="00E04361"/>
    <w:rsid w:val="00E049B6"/>
    <w:rsid w:val="00E04C54"/>
    <w:rsid w:val="00E064FD"/>
    <w:rsid w:val="00E0760B"/>
    <w:rsid w:val="00E103B8"/>
    <w:rsid w:val="00E1053A"/>
    <w:rsid w:val="00E12199"/>
    <w:rsid w:val="00E13654"/>
    <w:rsid w:val="00E1384E"/>
    <w:rsid w:val="00E16418"/>
    <w:rsid w:val="00E17F28"/>
    <w:rsid w:val="00E23C84"/>
    <w:rsid w:val="00E25A59"/>
    <w:rsid w:val="00E26AF3"/>
    <w:rsid w:val="00E276E0"/>
    <w:rsid w:val="00E314EA"/>
    <w:rsid w:val="00E336CC"/>
    <w:rsid w:val="00E33FDA"/>
    <w:rsid w:val="00E406D5"/>
    <w:rsid w:val="00E41E1C"/>
    <w:rsid w:val="00E53838"/>
    <w:rsid w:val="00E55FF3"/>
    <w:rsid w:val="00E56701"/>
    <w:rsid w:val="00E57F4B"/>
    <w:rsid w:val="00E62754"/>
    <w:rsid w:val="00E63E7F"/>
    <w:rsid w:val="00E64D2D"/>
    <w:rsid w:val="00E678AA"/>
    <w:rsid w:val="00E75AF1"/>
    <w:rsid w:val="00E76190"/>
    <w:rsid w:val="00E86B53"/>
    <w:rsid w:val="00E90634"/>
    <w:rsid w:val="00E9110B"/>
    <w:rsid w:val="00E92A56"/>
    <w:rsid w:val="00EA0247"/>
    <w:rsid w:val="00EA211E"/>
    <w:rsid w:val="00EA2B6F"/>
    <w:rsid w:val="00EA3D6A"/>
    <w:rsid w:val="00EA5359"/>
    <w:rsid w:val="00EB08FF"/>
    <w:rsid w:val="00EB17CB"/>
    <w:rsid w:val="00EB2C2C"/>
    <w:rsid w:val="00EB3478"/>
    <w:rsid w:val="00EB472A"/>
    <w:rsid w:val="00EB4B39"/>
    <w:rsid w:val="00EB6FE3"/>
    <w:rsid w:val="00EC0EEA"/>
    <w:rsid w:val="00EC6D75"/>
    <w:rsid w:val="00EC7E5B"/>
    <w:rsid w:val="00ED1C94"/>
    <w:rsid w:val="00ED531D"/>
    <w:rsid w:val="00ED6007"/>
    <w:rsid w:val="00EE0233"/>
    <w:rsid w:val="00EE025C"/>
    <w:rsid w:val="00EE0F65"/>
    <w:rsid w:val="00EE125B"/>
    <w:rsid w:val="00EE2C7D"/>
    <w:rsid w:val="00EE321E"/>
    <w:rsid w:val="00EE44DA"/>
    <w:rsid w:val="00EE5683"/>
    <w:rsid w:val="00EE59BD"/>
    <w:rsid w:val="00EF04D9"/>
    <w:rsid w:val="00EF190C"/>
    <w:rsid w:val="00EF3422"/>
    <w:rsid w:val="00EF47AE"/>
    <w:rsid w:val="00EF4B0C"/>
    <w:rsid w:val="00F00329"/>
    <w:rsid w:val="00F01358"/>
    <w:rsid w:val="00F04F09"/>
    <w:rsid w:val="00F10DB9"/>
    <w:rsid w:val="00F13DCA"/>
    <w:rsid w:val="00F14ED4"/>
    <w:rsid w:val="00F173E8"/>
    <w:rsid w:val="00F246A1"/>
    <w:rsid w:val="00F37917"/>
    <w:rsid w:val="00F37D7C"/>
    <w:rsid w:val="00F40757"/>
    <w:rsid w:val="00F439E3"/>
    <w:rsid w:val="00F44EA3"/>
    <w:rsid w:val="00F469E9"/>
    <w:rsid w:val="00F51F01"/>
    <w:rsid w:val="00F520EB"/>
    <w:rsid w:val="00F529CA"/>
    <w:rsid w:val="00F54236"/>
    <w:rsid w:val="00F5513E"/>
    <w:rsid w:val="00F60BE6"/>
    <w:rsid w:val="00F63F3F"/>
    <w:rsid w:val="00F66FA5"/>
    <w:rsid w:val="00F70059"/>
    <w:rsid w:val="00F71678"/>
    <w:rsid w:val="00F71F75"/>
    <w:rsid w:val="00F730E3"/>
    <w:rsid w:val="00F7499E"/>
    <w:rsid w:val="00F754F0"/>
    <w:rsid w:val="00F755E9"/>
    <w:rsid w:val="00F76F87"/>
    <w:rsid w:val="00F81E51"/>
    <w:rsid w:val="00F81F8F"/>
    <w:rsid w:val="00F85961"/>
    <w:rsid w:val="00F909CD"/>
    <w:rsid w:val="00F91865"/>
    <w:rsid w:val="00F94166"/>
    <w:rsid w:val="00F94427"/>
    <w:rsid w:val="00F94B33"/>
    <w:rsid w:val="00F96EEA"/>
    <w:rsid w:val="00F974D1"/>
    <w:rsid w:val="00FA121E"/>
    <w:rsid w:val="00FA16E0"/>
    <w:rsid w:val="00FA2BE1"/>
    <w:rsid w:val="00FA395E"/>
    <w:rsid w:val="00FA3C9A"/>
    <w:rsid w:val="00FA4B96"/>
    <w:rsid w:val="00FB6ACB"/>
    <w:rsid w:val="00FB7176"/>
    <w:rsid w:val="00FC2C4F"/>
    <w:rsid w:val="00FC4397"/>
    <w:rsid w:val="00FC499D"/>
    <w:rsid w:val="00FC59DA"/>
    <w:rsid w:val="00FD05AD"/>
    <w:rsid w:val="00FD0666"/>
    <w:rsid w:val="00FD44EE"/>
    <w:rsid w:val="00FD62EE"/>
    <w:rsid w:val="00FD7295"/>
    <w:rsid w:val="00FE2187"/>
    <w:rsid w:val="00FE27A1"/>
    <w:rsid w:val="00FE320C"/>
    <w:rsid w:val="00FE5293"/>
    <w:rsid w:val="00FF00CE"/>
    <w:rsid w:val="0A025430"/>
    <w:rsid w:val="0A3DC00D"/>
    <w:rsid w:val="38C4C945"/>
    <w:rsid w:val="5188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A68E5D17-2142-4057-B25E-A28469A1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/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tcBorders>
        <w:top w:val="nil"/>
        <w:left w:val="nil"/>
        <w:bottom w:val="nil"/>
        <w:right w:val="nil"/>
      </w:tcBorders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</w:tblPr>
    <w:tcPr>
      <w:tcBorders>
        <w:top w:val="double" w:sz="4" w:space="0" w:color="000000" w:themeColor="text1"/>
      </w:tcBorders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</w:tblPr>
    <w:tcPr>
      <w:tcBorders>
        <w:top w:val="double" w:sz="4" w:space="0" w:color="4F2D7F" w:themeColor="accent1"/>
      </w:tcBorders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</w:tblPr>
    <w:tcPr>
      <w:tcBorders>
        <w:top w:val="double" w:sz="4" w:space="0" w:color="C8BEAF" w:themeColor="accent2"/>
      </w:tcBorders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</w:tblPr>
    <w:tcPr>
      <w:tcBorders>
        <w:top w:val="double" w:sz="4" w:space="0" w:color="00A7B5" w:themeColor="accent3"/>
      </w:tcBorders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</w:tblPr>
    <w:tcPr>
      <w:tcBorders>
        <w:top w:val="double" w:sz="4" w:space="0" w:color="FF7D1E" w:themeColor="accent4"/>
      </w:tcBorders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</w:tblPr>
    <w:tcPr>
      <w:tcBorders>
        <w:top w:val="double" w:sz="4" w:space="0" w:color="9BD732" w:themeColor="accent5"/>
      </w:tcBorders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</w:tblPr>
    <w:tcPr>
      <w:tcBorders>
        <w:top w:val="double" w:sz="4" w:space="0" w:color="E92841" w:themeColor="accent6"/>
      </w:tcBorders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cBorders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link w:val="ListParagraphChar"/>
    <w:uiPriority w:val="34"/>
    <w:unhideWhenUsed/>
    <w:qFormat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</w:tblPr>
    <w:tcPr>
      <w:shd w:val="clear" w:color="auto" w:fill="CCCCCC" w:themeFill="text1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</w:tblPr>
    <w:tcPr>
      <w:shd w:val="clear" w:color="auto" w:fill="DACDED" w:themeFill="accent1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</w:tblPr>
    <w:tcPr>
      <w:shd w:val="clear" w:color="auto" w:fill="F4F2EF" w:themeFill="accent2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</w:tblPr>
    <w:tcPr>
      <w:shd w:val="clear" w:color="auto" w:fill="BDF9FF" w:themeFill="accent3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</w:tblPr>
    <w:tcPr>
      <w:shd w:val="clear" w:color="auto" w:fill="FFE4D2" w:themeFill="accent4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</w:tblPr>
    <w:tcPr>
      <w:shd w:val="clear" w:color="auto" w:fill="EAF7D6" w:themeFill="accent5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</w:tblPr>
    <w:tcPr>
      <w:shd w:val="clear" w:color="auto" w:fill="FAD3D8" w:themeFill="accent6" w:themeFillTint="33"/>
    </w:tc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cPr>
      <w:tcBorders>
        <w:left w:val="single" w:sz="4" w:space="0" w:color="000000" w:themeColor="text1"/>
      </w:tcBorders>
      <w:shd w:val="clear" w:color="auto" w:fill="CCCCCC" w:themeFill="text1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cPr>
      <w:tcBorders>
        <w:left w:val="single" w:sz="4" w:space="0" w:color="4F2D7F" w:themeColor="accent1"/>
      </w:tcBorders>
      <w:shd w:val="clear" w:color="auto" w:fill="DACDED" w:themeFill="accent1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cPr>
      <w:tcBorders>
        <w:left w:val="single" w:sz="4" w:space="0" w:color="C8BEAF" w:themeColor="accent2"/>
      </w:tcBorders>
      <w:shd w:val="clear" w:color="auto" w:fill="F4F2EF" w:themeFill="accent2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cPr>
      <w:tcBorders>
        <w:left w:val="single" w:sz="4" w:space="0" w:color="00A7B5" w:themeColor="accent3"/>
      </w:tcBorders>
      <w:shd w:val="clear" w:color="auto" w:fill="BDF9FF" w:themeFill="accent3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cPr>
      <w:tcBorders>
        <w:left w:val="single" w:sz="4" w:space="0" w:color="FF7D1E" w:themeColor="accent4"/>
      </w:tcBorders>
      <w:shd w:val="clear" w:color="auto" w:fill="FFE4D2" w:themeFill="accent4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cPr>
      <w:tcBorders>
        <w:left w:val="single" w:sz="4" w:space="0" w:color="9BD732" w:themeColor="accent5"/>
      </w:tcBorders>
      <w:shd w:val="clear" w:color="auto" w:fill="EAF7D6" w:themeFill="accent5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cPr>
      <w:tcBorders>
        <w:left w:val="single" w:sz="4" w:space="0" w:color="E92841" w:themeColor="accent6"/>
      </w:tcBorders>
      <w:shd w:val="clear" w:color="auto" w:fill="FAD3D8" w:themeFill="accent6" w:themeFillTint="33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</w:tblPr>
    <w:tcPr>
      <w:tc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</w:tcBorders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C0C0C0" w:themeFill="text1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1C1E9" w:themeFill="accent1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1EEEB" w:themeFill="accent2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ADF8FF" w:themeFill="accent3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DEC7" w:themeFill="accent4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F5CC" w:themeFill="accent5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C9CF" w:themeFill="accent6" w:themeFillTint="3F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C0C0C0" w:themeFill="text1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D1C1E9" w:themeFill="accent1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F1EEEB" w:themeFill="accent2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ADF8FF" w:themeFill="accent3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FFDEC7" w:themeFill="accent4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E6F5CC" w:themeFill="accent5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</w:tblPr>
    <w:tcPr>
      <w:shd w:val="clear" w:color="auto" w:fill="F9C9CF" w:themeFill="accent6" w:themeFillTint="3F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</w:tblPr>
    <w:tcPr>
      <w:shd w:val="clear" w:color="auto" w:fill="F2F2F2" w:themeFill="background1" w:themeFillShade="F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cPr>
      <w:tcBorders>
        <w:right w:val="single" w:sz="4" w:space="0" w:color="7F7F7F" w:themeColor="text1" w:themeTint="80"/>
      </w:tcBorders>
    </w:tc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</w:tblStylePr>
    <w:tblStylePr w:type="lastCol">
      <w:rPr>
        <w:b/>
        <w:bCs/>
        <w:caps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cPr>
      <w:tcBorders>
        <w:right w:val="single" w:sz="4" w:space="0" w:color="7F7F7F" w:themeColor="text1" w:themeTint="80"/>
      </w:tcBorders>
      <w:shd w:val="clear" w:color="auto" w:fill="FFFFFF" w:themeFill="background1"/>
    </w:tc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</w:tblStylePr>
    <w:tblStylePr w:type="lastCol">
      <w:rPr>
        <w:rFonts w:asciiTheme="majorHAnsi" w:eastAsiaTheme="majorEastAsia" w:hAnsiTheme="majorHAnsi" w:cstheme="majorBidi"/>
        <w:i/>
        <w:iCs/>
        <w:sz w:val="26"/>
      </w:r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tcBorders>
        <w:right w:val="single" w:sz="6" w:space="0" w:color="808080"/>
      </w:tcBorders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tcBorders>
        <w:bottom w:val="single" w:sz="6" w:space="0" w:color="FFFFFF"/>
        <w:right w:val="single" w:sz="6" w:space="0" w:color="FFFFFF"/>
      </w:tcBorders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cPr>
      <w:tcBorders>
        <w:bottom w:val="single" w:sz="6" w:space="0" w:color="FFFFFF"/>
      </w:tcBorders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/>
    <w:tcPr>
      <w:tcBorders>
        <w:top w:val="single" w:sz="6" w:space="0" w:color="000000"/>
        <w:right w:val="single" w:sz="6" w:space="0" w:color="000000"/>
      </w:tcBorders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/>
    <w:tcPr>
      <w:tcBorders>
        <w:top w:val="single" w:sz="12" w:space="0" w:color="000000"/>
      </w:tcBorders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</w:tblStylePr>
    <w:tblStylePr w:type="firstCol">
      <w:rPr>
        <w:b/>
        <w:bCs/>
        <w:color w:val="000000"/>
      </w:r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/>
    <w:tcPr>
      <w:tcBorders>
        <w:bottom w:val="single" w:sz="6" w:space="0" w:color="000000"/>
      </w:tcBorders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</w:tblStylePr>
    <w:tblStylePr w:type="firstCol">
      <w:rPr>
        <w:b/>
        <w:bCs/>
      </w:r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/>
    <w:tblStylePr w:type="firstRow">
      <w:rPr>
        <w:b/>
        <w:bCs/>
        <w:i/>
        <w:iCs/>
      </w:rPr>
    </w:tblStylePr>
    <w:tblStylePr w:type="firstCol">
      <w:rPr>
        <w:b/>
        <w:bCs/>
        <w:i/>
        <w:iCs/>
      </w:rPr>
    </w:tblStylePr>
    <w:tblStylePr w:type="swCell">
      <w:rPr>
        <w:b/>
        <w:bCs/>
        <w:i w:val="0"/>
        <w:iCs w:val="0"/>
      </w:r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/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/>
    <w:tblStylePr w:type="nwCell">
      <w:rPr>
        <w:b/>
        <w:bCs/>
        <w:color w:val="FFFFFF"/>
      </w:r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</w:tblStylePr>
    <w:tblStylePr w:type="band1Vert">
      <w:rPr>
        <w:color w:val="auto"/>
      </w:rPr>
    </w:tblStylePr>
    <w:tblStylePr w:type="band2Vert">
      <w:rPr>
        <w:color w:val="auto"/>
      </w:r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cPr>
      <w:shd w:val="pct10" w:color="000000" w:fill="FFFFFF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</w:tblStylePr>
    <w:tblStylePr w:type="band1Vert">
      <w:rPr>
        <w:color w:val="auto"/>
      </w:rPr>
    </w:tblStylePr>
    <w:tblStylePr w:type="band2Vert">
      <w:rPr>
        <w:color w:val="auto"/>
      </w:r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cPr>
      <w:shd w:val="solid" w:color="C0C0C0" w:fill="FFFFFF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</w:tblStylePr>
    <w:tblStylePr w:type="band1Vert">
      <w:rPr>
        <w:color w:val="auto"/>
      </w:r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pct5" w:color="000000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caps/>
        <w:color w:val="auto"/>
      </w:r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/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/>
    <w:tcPr>
      <w:tcBorders>
        <w:top w:val="single" w:sz="6" w:space="0" w:color="000000"/>
      </w:tcBorders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/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</w:tblStylePr>
  </w:style>
  <w:style w:type="table" w:styleId="TableGridLight">
    <w:name w:val="Grid Table Light"/>
    <w:basedOn w:val="TableNormal"/>
    <w:uiPriority w:val="40"/>
    <w:rsid w:val="004A0DFE"/>
    <w:tblPr/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</w:tblPr>
    <w:tcPr>
      <w:shd w:val="pct20" w:color="00FF00" w:fill="FFFFFF"/>
    </w:tc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  <w:color w:val="FFFFFF"/>
      </w:r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/>
    <w:tcPr>
      <w:tcBorders>
        <w:bottom w:val="single" w:sz="12" w:space="0" w:color="000000"/>
      </w:tcBorders>
      <w:shd w:val="clear" w:color="auto" w:fill="auto"/>
    </w:tcPr>
    <w:tblStylePr w:type="firstRow">
      <w:rPr>
        <w:b/>
        <w:bCs/>
      </w:rPr>
    </w:tblStylePr>
    <w:tblStylePr w:type="firstCol">
      <w:rPr>
        <w:b/>
        <w:bCs/>
      </w:r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tcBorders>
        <w:right w:val="single" w:sz="12" w:space="0" w:color="000000"/>
      </w:tcBorders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pct20" w:color="000000" w:fill="FFFFFF"/>
    </w:tc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pct25" w:color="FFFF00" w:fill="FFFFFF"/>
    </w:tc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b/>
        <w:bCs/>
        <w:color w:val="auto"/>
      </w:r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/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tcBorders>
        <w:bottom w:val="single" w:sz="6" w:space="0" w:color="000000"/>
      </w:tcBorders>
      <w:shd w:val="pct25" w:color="808000" w:fill="FFFFFF"/>
    </w:tc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/>
    <w:tcPr>
      <w:tcBorders>
        <w:left w:val="single" w:sz="12" w:space="0" w:color="000000"/>
        <w:right w:val="single" w:sz="12" w:space="0" w:color="000000"/>
      </w:tcBorders>
      <w:shd w:val="pct25" w:color="808000" w:fill="FFFFFF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/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color w:val="auto"/>
      </w:r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color w:val="auto"/>
      </w:r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color w:val="auto"/>
      </w:r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770C39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22D6EB6211D84499C632DF07FA977E" ma:contentTypeVersion="17" ma:contentTypeDescription="Create a new document." ma:contentTypeScope="" ma:versionID="31914250493786b7fa9c5406bb22620f">
  <xsd:schema xmlns:xsd="http://www.w3.org/2001/XMLSchema" xmlns:xs="http://www.w3.org/2001/XMLSchema" xmlns:p="http://schemas.microsoft.com/office/2006/metadata/properties" xmlns:ns2="c2d9b97a-c637-426a-b193-bfdf938e1ab3" xmlns:ns3="2cde421d-8dd3-4443-8604-e0f973ea2b48" xmlns:ns4="9c46a28d-acc8-4027-86ce-a8901ee39950" targetNamespace="http://schemas.microsoft.com/office/2006/metadata/properties" ma:root="true" ma:fieldsID="282fb838c3dab444c2810c32ae0a7f7c" ns2:_="" ns3:_="" ns4:_="">
    <xsd:import namespace="c2d9b97a-c637-426a-b193-bfdf938e1ab3"/>
    <xsd:import namespace="2cde421d-8dd3-4443-8604-e0f973ea2b48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d9b97a-c637-426a-b193-bfdf938e1a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e421d-8dd3-4443-8604-e0f973ea2b4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d9b97a-c637-426a-b193-bfdf938e1ab3">
      <Terms xmlns="http://schemas.microsoft.com/office/infopath/2007/PartnerControls"/>
    </lcf76f155ced4ddcb4097134ff3c332f>
    <TaxCatchAll xmlns="9c46a28d-acc8-4027-86ce-a8901ee39950" xsi:nil="true"/>
  </documentManagement>
</p:properties>
</file>

<file path=customXml/itemProps1.xml><?xml version="1.0" encoding="utf-8"?>
<ds:datastoreItem xmlns:ds="http://schemas.openxmlformats.org/officeDocument/2006/customXml" ds:itemID="{F2FED71F-F84B-4368-AC0F-75E5D00101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FE9899-A7C1-4884-8DC9-2CD21EF948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d9b97a-c637-426a-b193-bfdf938e1ab3"/>
    <ds:schemaRef ds:uri="2cde421d-8dd3-4443-8604-e0f973ea2b48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22F49-3FF1-4BC8-A191-7291BF491AB3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9c46a28d-acc8-4027-86ce-a8901ee39950"/>
    <ds:schemaRef ds:uri="http://purl.org/dc/terms/"/>
    <ds:schemaRef ds:uri="c2d9b97a-c637-426a-b193-bfdf938e1ab3"/>
    <ds:schemaRef ds:uri="http://schemas.openxmlformats.org/package/2006/metadata/core-properties"/>
    <ds:schemaRef ds:uri="2cde421d-8dd3-4443-8604-e0f973ea2b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138</TotalTime>
  <Pages>4</Pages>
  <Words>1398</Words>
  <Characters>5332</Characters>
  <Application>Microsoft Office Word</Application>
  <DocSecurity>0</DocSecurity>
  <Lines>104</Lines>
  <Paragraphs>25</Paragraphs>
  <ScaleCrop>false</ScaleCrop>
  <Company>Grant Thornton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384</cp:revision>
  <cp:lastPrinted>2025-11-14T07:43:00Z</cp:lastPrinted>
  <dcterms:created xsi:type="dcterms:W3CDTF">2019-03-12T20:58:00Z</dcterms:created>
  <dcterms:modified xsi:type="dcterms:W3CDTF">2025-11-14T14:07:00Z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0x010100E222D6EB6211D84499C632DF07FA977E</vt:lpwstr>
  </property>
  <property fmtid="{D5CDD505-2E9C-101B-9397-08002B2CF9AE}" pid="4" name="MediaServiceImageTags">
    <vt:lpwstr/>
  </property>
</Properties>
</file>