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458AF" w14:textId="55DA8120" w:rsidR="00930A0C" w:rsidRPr="00751136" w:rsidRDefault="001659E8" w:rsidP="0003043C">
      <w:pPr>
        <w:pStyle w:val="Heading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540" w:hanging="540"/>
        <w:rPr>
          <w:szCs w:val="20"/>
          <w:lang w:val="en-GB"/>
        </w:rPr>
      </w:pPr>
      <w:bookmarkStart w:id="0" w:name="OLE_LINK2"/>
      <w:r w:rsidRPr="00751136">
        <w:rPr>
          <w:szCs w:val="20"/>
          <w:lang w:val="en-GB"/>
        </w:rPr>
        <w:t>1</w:t>
      </w:r>
      <w:r w:rsidR="009C3FAF" w:rsidRPr="00751136">
        <w:rPr>
          <w:szCs w:val="20"/>
        </w:rPr>
        <w:tab/>
      </w:r>
      <w:r w:rsidR="00930A0C" w:rsidRPr="00751136">
        <w:rPr>
          <w:szCs w:val="20"/>
        </w:rPr>
        <w:t xml:space="preserve">Business nature of </w:t>
      </w:r>
      <w:r w:rsidR="00D71107" w:rsidRPr="00751136">
        <w:rPr>
          <w:szCs w:val="20"/>
        </w:rPr>
        <w:t>Future City Leasehold Real Estate Investment Trust</w:t>
      </w:r>
    </w:p>
    <w:p w14:paraId="7DBAF588" w14:textId="77777777" w:rsidR="00FD5BAF" w:rsidRPr="00751136" w:rsidRDefault="00FD5BAF" w:rsidP="0003043C">
      <w:pPr>
        <w:pStyle w:val="BodyTextIndent"/>
        <w:ind w:left="0"/>
        <w:rPr>
          <w:color w:val="auto"/>
          <w:szCs w:val="20"/>
        </w:rPr>
      </w:pPr>
    </w:p>
    <w:p w14:paraId="1061AD02" w14:textId="1AE16AAB" w:rsidR="00CA1500" w:rsidRPr="00751136" w:rsidRDefault="00CA1500" w:rsidP="0003043C">
      <w:pPr>
        <w:pStyle w:val="BodyTextIndent"/>
        <w:ind w:left="0"/>
        <w:rPr>
          <w:color w:val="auto"/>
          <w:spacing w:val="-4"/>
          <w:szCs w:val="20"/>
        </w:rPr>
      </w:pPr>
      <w:r w:rsidRPr="00751136">
        <w:rPr>
          <w:color w:val="auto"/>
          <w:szCs w:val="20"/>
        </w:rPr>
        <w:t xml:space="preserve">Future City Leasehold Real Estate Investment Trust (“the Trust”) is established under the Trust for </w:t>
      </w:r>
      <w:r w:rsidRPr="00751136">
        <w:rPr>
          <w:color w:val="auto"/>
          <w:spacing w:val="-6"/>
          <w:szCs w:val="20"/>
        </w:rPr>
        <w:t>Transactions in Capital Market Act B.E. 2550 (“the Act”), pursuant to the Trust Deed dated 22 August 2024,</w:t>
      </w:r>
      <w:r w:rsidRPr="00751136">
        <w:rPr>
          <w:color w:val="auto"/>
          <w:szCs w:val="20"/>
        </w:rPr>
        <w:t xml:space="preserve"> between BBL Asset Management Company Limited (“the </w:t>
      </w:r>
      <w:r w:rsidR="000C1DE1" w:rsidRPr="00751136">
        <w:rPr>
          <w:color w:val="auto"/>
          <w:szCs w:val="20"/>
        </w:rPr>
        <w:t>REIT Manager</w:t>
      </w:r>
      <w:r w:rsidRPr="00751136">
        <w:rPr>
          <w:color w:val="auto"/>
          <w:szCs w:val="20"/>
        </w:rPr>
        <w:t xml:space="preserve">”), </w:t>
      </w:r>
      <w:r w:rsidRPr="00751136">
        <w:rPr>
          <w:color w:val="auto"/>
          <w:spacing w:val="-4"/>
          <w:szCs w:val="20"/>
        </w:rPr>
        <w:t xml:space="preserve">as the Trust Settlor and REIT Manager and </w:t>
      </w:r>
      <w:proofErr w:type="spellStart"/>
      <w:r w:rsidRPr="00751136">
        <w:rPr>
          <w:color w:val="auto"/>
          <w:spacing w:val="-4"/>
          <w:szCs w:val="20"/>
        </w:rPr>
        <w:t>Krungthai</w:t>
      </w:r>
      <w:proofErr w:type="spellEnd"/>
      <w:r w:rsidRPr="00751136">
        <w:rPr>
          <w:color w:val="auto"/>
          <w:spacing w:val="-4"/>
          <w:szCs w:val="20"/>
        </w:rPr>
        <w:t xml:space="preserve"> Asset Management Public Company Limited, as the Trustee. </w:t>
      </w:r>
      <w:proofErr w:type="spellStart"/>
      <w:r w:rsidRPr="00751136">
        <w:rPr>
          <w:color w:val="auto"/>
          <w:spacing w:val="-4"/>
          <w:szCs w:val="20"/>
        </w:rPr>
        <w:t>Rangsit</w:t>
      </w:r>
      <w:proofErr w:type="spellEnd"/>
      <w:r w:rsidRPr="00751136">
        <w:rPr>
          <w:color w:val="auto"/>
          <w:spacing w:val="-4"/>
          <w:szCs w:val="20"/>
        </w:rPr>
        <w:t xml:space="preserve"> Plaza Company Limited acts as </w:t>
      </w:r>
      <w:proofErr w:type="gramStart"/>
      <w:r w:rsidRPr="00751136">
        <w:rPr>
          <w:color w:val="auto"/>
          <w:spacing w:val="-4"/>
          <w:szCs w:val="20"/>
        </w:rPr>
        <w:t>the Property</w:t>
      </w:r>
      <w:proofErr w:type="gramEnd"/>
      <w:r w:rsidRPr="00751136">
        <w:rPr>
          <w:color w:val="auto"/>
          <w:spacing w:val="-4"/>
          <w:szCs w:val="20"/>
        </w:rPr>
        <w:t xml:space="preserve"> Manager. The Trust is a non-redeemable and non-repurchase type, with no project life stipulated.</w:t>
      </w:r>
    </w:p>
    <w:p w14:paraId="0E36EEC9" w14:textId="77777777" w:rsidR="00CA1500" w:rsidRPr="00751136" w:rsidRDefault="00CA1500" w:rsidP="0003043C">
      <w:pPr>
        <w:pStyle w:val="BodyTextIndent"/>
        <w:ind w:left="0"/>
        <w:rPr>
          <w:color w:val="auto"/>
          <w:spacing w:val="-4"/>
          <w:szCs w:val="20"/>
        </w:rPr>
      </w:pPr>
    </w:p>
    <w:p w14:paraId="6C734C50" w14:textId="501FF7FB" w:rsidR="00CA1500" w:rsidRPr="00751136" w:rsidRDefault="00CA1500" w:rsidP="0003043C">
      <w:pPr>
        <w:pStyle w:val="BodyTextIndent"/>
        <w:ind w:left="0"/>
        <w:rPr>
          <w:color w:val="auto"/>
          <w:szCs w:val="20"/>
        </w:rPr>
      </w:pPr>
      <w:r w:rsidRPr="00751136">
        <w:rPr>
          <w:color w:val="auto"/>
          <w:szCs w:val="20"/>
        </w:rPr>
        <w:t xml:space="preserve">The Trust is established with the objective of issuing real estate investment trust (REIT) units to facilitate the conversion from the Future Park Leasehold Property Fund and to raise capital from the general public. The </w:t>
      </w:r>
      <w:r w:rsidR="00124C69" w:rsidRPr="00751136">
        <w:rPr>
          <w:color w:val="auto"/>
          <w:szCs w:val="20"/>
        </w:rPr>
        <w:t>Trust</w:t>
      </w:r>
      <w:r w:rsidRPr="00751136">
        <w:rPr>
          <w:color w:val="auto"/>
          <w:szCs w:val="20"/>
        </w:rPr>
        <w:t xml:space="preserve"> raised will be used to purchase, lease, or acquire leasehold rights of real estate properties, and to seek benefits from such properties through leasing, subleasing, or other means for the benefit of the assets invested or held by the Trust. This includes improving, modifying, enhancing the properties, or disposing of them to generate income and returns for the Trust and its </w:t>
      </w:r>
      <w:r w:rsidRPr="00751136">
        <w:rPr>
          <w:color w:val="auto"/>
          <w:spacing w:val="-4"/>
          <w:szCs w:val="20"/>
        </w:rPr>
        <w:t>unit holders. The Trust may also invest in other properties, securities, or seek other benefits as permitted</w:t>
      </w:r>
      <w:r w:rsidRPr="00751136">
        <w:rPr>
          <w:color w:val="auto"/>
          <w:szCs w:val="20"/>
        </w:rPr>
        <w:t xml:space="preserve"> by the securities laws or other relevant regulations.</w:t>
      </w:r>
    </w:p>
    <w:p w14:paraId="1E439B37" w14:textId="77777777" w:rsidR="00CA1500" w:rsidRPr="00751136" w:rsidRDefault="00CA1500" w:rsidP="0003043C">
      <w:pPr>
        <w:pStyle w:val="BodyTextIndent"/>
        <w:ind w:left="0"/>
        <w:rPr>
          <w:color w:val="auto"/>
          <w:spacing w:val="-4"/>
          <w:szCs w:val="20"/>
        </w:rPr>
      </w:pPr>
    </w:p>
    <w:p w14:paraId="087E7C47" w14:textId="22A65417" w:rsidR="008323E5" w:rsidRPr="00751136" w:rsidRDefault="00CA1500" w:rsidP="0003043C">
      <w:pPr>
        <w:pStyle w:val="BodyTextIndent"/>
        <w:ind w:left="0"/>
        <w:rPr>
          <w:color w:val="auto"/>
          <w:spacing w:val="-4"/>
          <w:szCs w:val="20"/>
        </w:rPr>
      </w:pPr>
      <w:r w:rsidRPr="00751136">
        <w:rPr>
          <w:color w:val="auto"/>
          <w:spacing w:val="-4"/>
          <w:szCs w:val="20"/>
        </w:rPr>
        <w:t>The Trust has a policy to distribute benefits to its unit holders as specified in the Trust Deed.</w:t>
      </w:r>
    </w:p>
    <w:p w14:paraId="176D60DF" w14:textId="77777777" w:rsidR="00101702" w:rsidRPr="00751136" w:rsidRDefault="00101702" w:rsidP="0003043C">
      <w:pPr>
        <w:pStyle w:val="BodyTextIndent"/>
        <w:tabs>
          <w:tab w:val="left" w:pos="540"/>
        </w:tabs>
        <w:ind w:left="0"/>
        <w:rPr>
          <w:color w:val="auto"/>
          <w:szCs w:val="20"/>
          <w:shd w:val="clear" w:color="auto" w:fill="FFFFFF"/>
          <w:lang w:val="en-GB"/>
        </w:rPr>
      </w:pPr>
    </w:p>
    <w:p w14:paraId="369347FB" w14:textId="77777777" w:rsidR="00124C69" w:rsidRPr="00751136" w:rsidRDefault="00124C69" w:rsidP="0003043C">
      <w:pPr>
        <w:pStyle w:val="BodyTextIndent"/>
        <w:tabs>
          <w:tab w:val="left" w:pos="540"/>
        </w:tabs>
        <w:ind w:left="0"/>
        <w:rPr>
          <w:color w:val="auto"/>
          <w:szCs w:val="20"/>
          <w:shd w:val="clear" w:color="auto" w:fill="FFFFFF"/>
          <w:lang w:val="en-GB"/>
        </w:rPr>
      </w:pPr>
    </w:p>
    <w:p w14:paraId="0EBD3871" w14:textId="4ACB32EE" w:rsidR="009C3FAF" w:rsidRPr="00751136" w:rsidRDefault="002324FE" w:rsidP="0003043C">
      <w:pPr>
        <w:tabs>
          <w:tab w:val="left" w:pos="567"/>
        </w:tabs>
        <w:rPr>
          <w:b/>
          <w:bCs/>
          <w:color w:val="auto"/>
          <w:lang w:val="en-GB"/>
        </w:rPr>
      </w:pPr>
      <w:bookmarkStart w:id="1" w:name="_Hlk39774521"/>
      <w:r w:rsidRPr="00751136">
        <w:rPr>
          <w:b/>
          <w:bCs/>
          <w:color w:val="auto"/>
          <w:lang w:val="en-GB"/>
        </w:rPr>
        <w:t>2</w:t>
      </w:r>
      <w:r w:rsidR="009C3FAF" w:rsidRPr="00751136">
        <w:rPr>
          <w:b/>
          <w:bCs/>
          <w:color w:val="auto"/>
          <w:lang w:val="en-GB"/>
        </w:rPr>
        <w:tab/>
        <w:t>Basis of preparation</w:t>
      </w:r>
    </w:p>
    <w:bookmarkEnd w:id="1"/>
    <w:p w14:paraId="26E0E616" w14:textId="77777777" w:rsidR="009257F7" w:rsidRPr="00751136" w:rsidRDefault="009257F7" w:rsidP="0003043C">
      <w:pPr>
        <w:jc w:val="both"/>
        <w:rPr>
          <w:rFonts w:eastAsia="Arial Unicode MS"/>
          <w:color w:val="auto"/>
          <w:lang w:val="en-GB"/>
        </w:rPr>
      </w:pPr>
    </w:p>
    <w:p w14:paraId="378C2726" w14:textId="16CBB0F2" w:rsidR="00BC6F3A" w:rsidRPr="00751136" w:rsidRDefault="00BC6F3A" w:rsidP="0003043C">
      <w:pPr>
        <w:jc w:val="both"/>
        <w:rPr>
          <w:rFonts w:eastAsia="Arial Unicode MS"/>
          <w:b/>
          <w:bCs/>
          <w:color w:val="auto"/>
          <w:lang w:val="en-GB"/>
        </w:rPr>
      </w:pPr>
      <w:r w:rsidRPr="00751136">
        <w:rPr>
          <w:rFonts w:eastAsia="Arial Unicode MS"/>
          <w:color w:val="auto"/>
          <w:spacing w:val="-4"/>
          <w:lang w:val="en-GB"/>
        </w:rPr>
        <w:t xml:space="preserve">The financial </w:t>
      </w:r>
      <w:r w:rsidR="009F256C" w:rsidRPr="00751136">
        <w:rPr>
          <w:rFonts w:eastAsia="Arial Unicode MS"/>
          <w:color w:val="auto"/>
          <w:spacing w:val="-4"/>
          <w:lang w:val="en-GB"/>
        </w:rPr>
        <w:t xml:space="preserve">statements </w:t>
      </w:r>
      <w:r w:rsidRPr="00751136">
        <w:rPr>
          <w:rFonts w:eastAsia="Arial Unicode MS"/>
          <w:color w:val="auto"/>
          <w:spacing w:val="-4"/>
          <w:lang w:val="en-GB"/>
        </w:rPr>
        <w:t>ha</w:t>
      </w:r>
      <w:r w:rsidR="009F256C" w:rsidRPr="00751136">
        <w:rPr>
          <w:rFonts w:eastAsia="Arial Unicode MS"/>
          <w:color w:val="auto"/>
          <w:spacing w:val="-4"/>
          <w:lang w:val="en-GB"/>
        </w:rPr>
        <w:t>ve</w:t>
      </w:r>
      <w:r w:rsidRPr="00751136">
        <w:rPr>
          <w:rFonts w:eastAsia="Arial Unicode MS"/>
          <w:color w:val="auto"/>
          <w:spacing w:val="-4"/>
          <w:lang w:val="en-GB"/>
        </w:rPr>
        <w:t xml:space="preserve"> been prepared in accordance with accounting guidelines</w:t>
      </w:r>
      <w:r w:rsidR="009C3FAF" w:rsidRPr="00751136">
        <w:rPr>
          <w:rFonts w:eastAsia="Arial Unicode MS"/>
          <w:color w:val="auto"/>
          <w:spacing w:val="-4"/>
          <w:lang w:val="en-GB"/>
        </w:rPr>
        <w:t xml:space="preserve"> </w:t>
      </w:r>
      <w:r w:rsidRPr="00751136">
        <w:rPr>
          <w:rFonts w:eastAsia="Arial Unicode MS"/>
          <w:color w:val="auto"/>
          <w:spacing w:val="-4"/>
          <w:lang w:val="en-GB"/>
        </w:rPr>
        <w:t>for the Property</w:t>
      </w:r>
      <w:r w:rsidRPr="00751136">
        <w:rPr>
          <w:rFonts w:eastAsia="Arial Unicode MS"/>
          <w:color w:val="auto"/>
          <w:lang w:val="en-GB"/>
        </w:rPr>
        <w:t xml:space="preserve"> Fund, Real Estate Investment Trust, Infrastructure Fund and Infrastructure Trust established by the Association of Investment Management Companies and endorsed by the Securities and Exchange </w:t>
      </w:r>
      <w:r w:rsidRPr="00751136">
        <w:rPr>
          <w:rFonts w:eastAsia="Arial Unicode MS"/>
          <w:color w:val="auto"/>
          <w:spacing w:val="-4"/>
          <w:lang w:val="en-GB"/>
        </w:rPr>
        <w:t>Commission, Thailand (accounting guidelines). For the areas not covered by the accounting guidelines</w:t>
      </w:r>
      <w:r w:rsidRPr="00751136">
        <w:rPr>
          <w:rFonts w:eastAsia="Arial Unicode MS"/>
          <w:color w:val="auto"/>
          <w:lang w:val="en-GB"/>
        </w:rPr>
        <w:t xml:space="preserve">, </w:t>
      </w:r>
      <w:r w:rsidR="00217DD9" w:rsidRPr="00751136">
        <w:rPr>
          <w:rFonts w:eastAsia="Arial Unicode MS"/>
          <w:color w:val="auto"/>
          <w:lang w:val="en-GB"/>
        </w:rPr>
        <w:t xml:space="preserve">the </w:t>
      </w:r>
      <w:r w:rsidR="00124C69" w:rsidRPr="00751136">
        <w:rPr>
          <w:rFonts w:eastAsia="Arial Unicode MS"/>
          <w:color w:val="auto"/>
          <w:lang w:val="en-GB"/>
        </w:rPr>
        <w:t>Trust</w:t>
      </w:r>
      <w:r w:rsidRPr="00751136">
        <w:rPr>
          <w:rFonts w:eastAsia="Arial Unicode MS"/>
          <w:color w:val="auto"/>
          <w:lang w:val="en-GB"/>
        </w:rPr>
        <w:t xml:space="preserve"> applies the requirements in accordance with Thai Financial Reporting Standard issued by the Federation of Accounting Professions which effective on financial reporting period of the </w:t>
      </w:r>
      <w:r w:rsidR="009F256C" w:rsidRPr="00751136">
        <w:rPr>
          <w:rFonts w:eastAsia="Arial Unicode MS"/>
          <w:color w:val="auto"/>
          <w:lang w:val="en-GB"/>
        </w:rPr>
        <w:t>financial statements</w:t>
      </w:r>
      <w:r w:rsidRPr="00751136">
        <w:rPr>
          <w:rFonts w:eastAsia="Arial Unicode MS"/>
          <w:color w:val="auto"/>
          <w:lang w:val="en-GB"/>
        </w:rPr>
        <w:t xml:space="preserve">. </w:t>
      </w:r>
    </w:p>
    <w:p w14:paraId="2CBAC03E" w14:textId="77777777" w:rsidR="009257F7" w:rsidRPr="00751136" w:rsidRDefault="009257F7" w:rsidP="0003043C">
      <w:pPr>
        <w:jc w:val="both"/>
        <w:rPr>
          <w:rFonts w:eastAsia="Arial Unicode MS"/>
          <w:color w:val="auto"/>
          <w:lang w:val="en-GB"/>
        </w:rPr>
      </w:pPr>
    </w:p>
    <w:p w14:paraId="793D9CB2" w14:textId="56580AE7" w:rsidR="009257F7" w:rsidRPr="00751136" w:rsidRDefault="009F256C" w:rsidP="0003043C">
      <w:pPr>
        <w:jc w:val="both"/>
        <w:rPr>
          <w:rFonts w:eastAsia="Arial Unicode MS"/>
          <w:color w:val="auto"/>
          <w:lang w:val="en-GB"/>
        </w:rPr>
      </w:pPr>
      <w:r w:rsidRPr="00751136">
        <w:rPr>
          <w:rFonts w:eastAsia="Arial Unicode MS"/>
          <w:color w:val="auto"/>
          <w:lang w:val="en-GB"/>
        </w:rPr>
        <w:t>The financial statements have been prepared under the historical cost convention except as disclosed in the accounting policies below.</w:t>
      </w:r>
    </w:p>
    <w:p w14:paraId="7264C978" w14:textId="77777777" w:rsidR="009F256C" w:rsidRPr="00751136" w:rsidRDefault="009F256C" w:rsidP="0003043C">
      <w:pPr>
        <w:pStyle w:val="a0"/>
        <w:tabs>
          <w:tab w:val="right" w:pos="7560"/>
          <w:tab w:val="right" w:pos="9000"/>
        </w:tabs>
        <w:ind w:right="0"/>
        <w:jc w:val="thaiDistribute"/>
        <w:rPr>
          <w:sz w:val="20"/>
          <w:szCs w:val="20"/>
        </w:rPr>
      </w:pPr>
    </w:p>
    <w:p w14:paraId="081B0414" w14:textId="77F12C1D" w:rsidR="00DC602C" w:rsidRPr="00751136" w:rsidRDefault="009F256C" w:rsidP="0003043C">
      <w:pPr>
        <w:pStyle w:val="a0"/>
        <w:tabs>
          <w:tab w:val="right" w:pos="7560"/>
          <w:tab w:val="right" w:pos="9000"/>
        </w:tabs>
        <w:ind w:right="0"/>
        <w:jc w:val="thaiDistribute"/>
        <w:rPr>
          <w:sz w:val="20"/>
          <w:szCs w:val="20"/>
        </w:rPr>
      </w:pPr>
      <w:r w:rsidRPr="00751136">
        <w:rPr>
          <w:spacing w:val="-4"/>
          <w:sz w:val="20"/>
          <w:szCs w:val="20"/>
        </w:rPr>
        <w:t xml:space="preserve">The preparation of financial statements in conformity with </w:t>
      </w:r>
      <w:r w:rsidR="00620CE6" w:rsidRPr="00751136">
        <w:rPr>
          <w:spacing w:val="-4"/>
          <w:sz w:val="20"/>
          <w:szCs w:val="20"/>
        </w:rPr>
        <w:t xml:space="preserve">accounting guidelines </w:t>
      </w:r>
      <w:r w:rsidRPr="00751136">
        <w:rPr>
          <w:spacing w:val="-4"/>
          <w:sz w:val="20"/>
          <w:szCs w:val="20"/>
        </w:rPr>
        <w:t xml:space="preserve">requires the use of certain </w:t>
      </w:r>
      <w:r w:rsidRPr="00751136">
        <w:rPr>
          <w:sz w:val="20"/>
          <w:szCs w:val="20"/>
        </w:rPr>
        <w:t>critical accounting estimates. It also requires management to exercise its judgement in the process of</w:t>
      </w:r>
      <w:r w:rsidRPr="00751136">
        <w:rPr>
          <w:spacing w:val="-6"/>
          <w:sz w:val="20"/>
          <w:szCs w:val="20"/>
        </w:rPr>
        <w:t xml:space="preserve"> </w:t>
      </w:r>
      <w:r w:rsidRPr="00751136">
        <w:rPr>
          <w:spacing w:val="-4"/>
          <w:sz w:val="20"/>
          <w:szCs w:val="20"/>
        </w:rPr>
        <w:t xml:space="preserve">applying the </w:t>
      </w:r>
      <w:r w:rsidR="00CA1500" w:rsidRPr="00751136">
        <w:rPr>
          <w:spacing w:val="-4"/>
          <w:sz w:val="20"/>
          <w:szCs w:val="20"/>
        </w:rPr>
        <w:t>Trust</w:t>
      </w:r>
      <w:r w:rsidRPr="00751136">
        <w:rPr>
          <w:spacing w:val="-4"/>
          <w:sz w:val="20"/>
          <w:szCs w:val="20"/>
        </w:rPr>
        <w:t>’s accounting policies. The areas involving a higher degree of judgement or complexity</w:t>
      </w:r>
      <w:r w:rsidRPr="00751136">
        <w:rPr>
          <w:sz w:val="20"/>
          <w:szCs w:val="20"/>
        </w:rPr>
        <w:t xml:space="preserve">, or areas where assumptions and estimates are significant to the financial statements are disclosed in Note </w:t>
      </w:r>
      <w:r w:rsidR="00244103" w:rsidRPr="00751136">
        <w:rPr>
          <w:sz w:val="20"/>
          <w:szCs w:val="20"/>
        </w:rPr>
        <w:t>3</w:t>
      </w:r>
      <w:r w:rsidRPr="00751136">
        <w:rPr>
          <w:sz w:val="20"/>
          <w:szCs w:val="20"/>
        </w:rPr>
        <w:t xml:space="preserve"> to the financial statements</w:t>
      </w:r>
      <w:r w:rsidR="00823D06" w:rsidRPr="00751136">
        <w:rPr>
          <w:sz w:val="20"/>
          <w:szCs w:val="20"/>
        </w:rPr>
        <w:t>.</w:t>
      </w:r>
    </w:p>
    <w:p w14:paraId="43806F76" w14:textId="28FF6BA9" w:rsidR="00DC602C" w:rsidRPr="00751136" w:rsidRDefault="00DC602C" w:rsidP="0003043C">
      <w:pPr>
        <w:pStyle w:val="a0"/>
        <w:tabs>
          <w:tab w:val="right" w:pos="7560"/>
          <w:tab w:val="right" w:pos="9000"/>
        </w:tabs>
        <w:ind w:right="0"/>
        <w:jc w:val="thaiDistribute"/>
        <w:rPr>
          <w:sz w:val="20"/>
          <w:szCs w:val="20"/>
        </w:rPr>
      </w:pPr>
    </w:p>
    <w:p w14:paraId="2803183A" w14:textId="6F65CF8F" w:rsidR="00CA1500" w:rsidRPr="00751136" w:rsidRDefault="00CA1500" w:rsidP="0003043C">
      <w:pPr>
        <w:pStyle w:val="a0"/>
        <w:tabs>
          <w:tab w:val="right" w:pos="7560"/>
          <w:tab w:val="right" w:pos="9000"/>
        </w:tabs>
        <w:ind w:right="0"/>
        <w:jc w:val="thaiDistribute"/>
        <w:rPr>
          <w:sz w:val="20"/>
          <w:szCs w:val="20"/>
        </w:rPr>
      </w:pPr>
      <w:r w:rsidRPr="00751136">
        <w:rPr>
          <w:color w:val="auto"/>
          <w:spacing w:val="-4"/>
          <w:sz w:val="20"/>
          <w:szCs w:val="20"/>
        </w:rPr>
        <w:t>An English version of the financial statements have been prepared from the statutory financial statements</w:t>
      </w:r>
      <w:r w:rsidRPr="00751136">
        <w:rPr>
          <w:sz w:val="20"/>
          <w:szCs w:val="20"/>
        </w:rPr>
        <w:t xml:space="preserve"> that are in the Thai language in accordance with accounting guidelines. In the event of a conflict or a difference in interpretation between the two languages, the Thai language financial statements shall prevail.</w:t>
      </w:r>
    </w:p>
    <w:p w14:paraId="249954A7" w14:textId="38A829F5" w:rsidR="00B60ACB" w:rsidRPr="00751136" w:rsidRDefault="00101702" w:rsidP="0003043C">
      <w:pPr>
        <w:tabs>
          <w:tab w:val="left" w:pos="567"/>
        </w:tabs>
        <w:rPr>
          <w:b/>
          <w:bCs/>
          <w:color w:val="auto"/>
          <w:lang w:val="en-GB"/>
        </w:rPr>
      </w:pPr>
      <w:r w:rsidRPr="00751136">
        <w:rPr>
          <w:color w:val="auto"/>
        </w:rPr>
        <w:br w:type="page"/>
      </w:r>
      <w:r w:rsidR="002324FE" w:rsidRPr="00751136">
        <w:rPr>
          <w:b/>
          <w:bCs/>
          <w:color w:val="auto"/>
          <w:lang w:val="en-GB"/>
        </w:rPr>
        <w:lastRenderedPageBreak/>
        <w:t>3</w:t>
      </w:r>
      <w:r w:rsidR="00B60ACB" w:rsidRPr="00751136">
        <w:rPr>
          <w:b/>
          <w:bCs/>
          <w:color w:val="auto"/>
          <w:lang w:val="en-GB"/>
        </w:rPr>
        <w:tab/>
        <w:t>Accounting policies</w:t>
      </w:r>
    </w:p>
    <w:p w14:paraId="5865C54E" w14:textId="77777777" w:rsidR="008E1F27" w:rsidRPr="00751136" w:rsidRDefault="008E1F27" w:rsidP="0003043C">
      <w:pPr>
        <w:pStyle w:val="BodyTextIndent"/>
        <w:ind w:left="547"/>
        <w:rPr>
          <w:color w:val="auto"/>
          <w:szCs w:val="20"/>
          <w:highlight w:val="yellow"/>
        </w:rPr>
      </w:pPr>
    </w:p>
    <w:p w14:paraId="5BBAC814" w14:textId="11EFA4BA" w:rsidR="00542BC6" w:rsidRPr="00751136" w:rsidRDefault="002324FE" w:rsidP="0003043C">
      <w:pPr>
        <w:tabs>
          <w:tab w:val="left" w:pos="558"/>
        </w:tabs>
        <w:rPr>
          <w:rFonts w:eastAsia="Arial Unicode MS"/>
          <w:b/>
          <w:bCs/>
          <w:color w:val="auto"/>
        </w:rPr>
      </w:pPr>
      <w:r w:rsidRPr="00751136">
        <w:rPr>
          <w:b/>
          <w:bCs/>
          <w:color w:val="auto"/>
          <w:lang w:val="en-GB"/>
        </w:rPr>
        <w:t>3</w:t>
      </w:r>
      <w:r w:rsidR="00542BC6" w:rsidRPr="00751136">
        <w:rPr>
          <w:b/>
          <w:bCs/>
          <w:color w:val="auto"/>
          <w:lang w:val="en-GB"/>
        </w:rPr>
        <w:t>.</w:t>
      </w:r>
      <w:r w:rsidR="005550A1" w:rsidRPr="00751136">
        <w:rPr>
          <w:b/>
          <w:bCs/>
          <w:color w:val="auto"/>
          <w:lang w:val="en-GB"/>
        </w:rPr>
        <w:t>1</w:t>
      </w:r>
      <w:r w:rsidR="00542BC6" w:rsidRPr="00751136">
        <w:rPr>
          <w:b/>
          <w:bCs/>
          <w:color w:val="auto"/>
          <w:lang w:val="en-GB"/>
        </w:rPr>
        <w:tab/>
      </w:r>
      <w:r w:rsidR="00542BC6" w:rsidRPr="00751136">
        <w:rPr>
          <w:rFonts w:eastAsia="Arial Unicode MS"/>
          <w:b/>
          <w:bCs/>
          <w:color w:val="auto"/>
        </w:rPr>
        <w:t>Financial assets and liabilities</w:t>
      </w:r>
    </w:p>
    <w:p w14:paraId="279A9796" w14:textId="77777777" w:rsidR="00542BC6" w:rsidRPr="00751136" w:rsidRDefault="00542BC6" w:rsidP="0003043C">
      <w:pPr>
        <w:pStyle w:val="BodyTextIndent"/>
        <w:ind w:left="547"/>
        <w:rPr>
          <w:color w:val="auto"/>
          <w:szCs w:val="20"/>
          <w:highlight w:val="yellow"/>
        </w:rPr>
      </w:pPr>
    </w:p>
    <w:p w14:paraId="70B613AE" w14:textId="77777777" w:rsidR="00542BC6" w:rsidRPr="00751136" w:rsidRDefault="00542BC6" w:rsidP="0003043C">
      <w:pPr>
        <w:ind w:left="547"/>
        <w:jc w:val="both"/>
        <w:rPr>
          <w:rFonts w:eastAsia="Arial Unicode MS"/>
          <w:i/>
          <w:iCs/>
          <w:color w:val="auto"/>
        </w:rPr>
      </w:pPr>
      <w:r w:rsidRPr="00751136">
        <w:rPr>
          <w:rFonts w:eastAsia="Arial Unicode MS"/>
          <w:i/>
          <w:iCs/>
          <w:color w:val="auto"/>
        </w:rPr>
        <w:t>Classification and measurement</w:t>
      </w:r>
    </w:p>
    <w:p w14:paraId="141DF146" w14:textId="77777777" w:rsidR="00542BC6" w:rsidRPr="00751136" w:rsidRDefault="00542BC6" w:rsidP="0003043C">
      <w:pPr>
        <w:pStyle w:val="BodyTextIndent"/>
        <w:ind w:left="547"/>
        <w:rPr>
          <w:color w:val="auto"/>
          <w:szCs w:val="20"/>
          <w:highlight w:val="yellow"/>
        </w:rPr>
      </w:pPr>
    </w:p>
    <w:p w14:paraId="5BBDD608" w14:textId="328B15BE" w:rsidR="00542BC6" w:rsidRPr="00751136" w:rsidRDefault="00542BC6" w:rsidP="0003043C">
      <w:pPr>
        <w:tabs>
          <w:tab w:val="left" w:pos="1276"/>
        </w:tabs>
        <w:ind w:left="547"/>
        <w:jc w:val="thaiDistribute"/>
        <w:rPr>
          <w:rFonts w:eastAsia="Arial Unicode MS"/>
          <w:color w:val="auto"/>
        </w:rPr>
      </w:pPr>
      <w:r w:rsidRPr="00751136">
        <w:rPr>
          <w:rFonts w:eastAsia="Arial Unicode MS"/>
          <w:color w:val="auto"/>
          <w:spacing w:val="-6"/>
        </w:rPr>
        <w:t xml:space="preserve">All financial assets are classified as financial assets at fair value through </w:t>
      </w:r>
      <w:r w:rsidR="00541FC0" w:rsidRPr="00751136">
        <w:rPr>
          <w:rFonts w:eastAsia="Arial Unicode MS"/>
          <w:color w:val="auto"/>
          <w:spacing w:val="-6"/>
        </w:rPr>
        <w:t>gain</w:t>
      </w:r>
      <w:r w:rsidRPr="00751136">
        <w:rPr>
          <w:rFonts w:eastAsia="Arial Unicode MS"/>
          <w:color w:val="auto"/>
          <w:spacing w:val="-6"/>
        </w:rPr>
        <w:t xml:space="preserve"> or loss and subsequently</w:t>
      </w:r>
      <w:r w:rsidRPr="00751136">
        <w:rPr>
          <w:rFonts w:eastAsia="Arial Unicode MS"/>
          <w:color w:val="auto"/>
        </w:rPr>
        <w:t xml:space="preserve"> </w:t>
      </w:r>
      <w:r w:rsidRPr="00751136">
        <w:rPr>
          <w:rFonts w:eastAsia="Arial Unicode MS"/>
          <w:color w:val="auto"/>
          <w:spacing w:val="-4"/>
        </w:rPr>
        <w:t xml:space="preserve">measured at fair value through profit or loss except for </w:t>
      </w:r>
      <w:r w:rsidR="00D934A0" w:rsidRPr="00751136">
        <w:rPr>
          <w:rFonts w:eastAsia="Arial Unicode MS"/>
          <w:color w:val="auto"/>
          <w:spacing w:val="-4"/>
        </w:rPr>
        <w:t>cash and cash equivalents</w:t>
      </w:r>
      <w:r w:rsidR="003C7DA6" w:rsidRPr="00751136">
        <w:rPr>
          <w:rFonts w:eastAsia="Arial Unicode MS"/>
          <w:color w:val="auto"/>
          <w:spacing w:val="-4"/>
        </w:rPr>
        <w:t>,</w:t>
      </w:r>
      <w:r w:rsidR="00D934A0" w:rsidRPr="00751136">
        <w:rPr>
          <w:rFonts w:eastAsia="Arial Unicode MS"/>
          <w:color w:val="auto"/>
          <w:spacing w:val="-4"/>
        </w:rPr>
        <w:t xml:space="preserve"> </w:t>
      </w:r>
      <w:r w:rsidRPr="00751136">
        <w:rPr>
          <w:rFonts w:eastAsia="Arial Unicode MS"/>
          <w:color w:val="auto"/>
          <w:spacing w:val="-4"/>
        </w:rPr>
        <w:t>rental receivable</w:t>
      </w:r>
      <w:r w:rsidR="003C7DA6" w:rsidRPr="00751136">
        <w:rPr>
          <w:rFonts w:eastAsia="Arial Unicode MS"/>
          <w:color w:val="auto"/>
          <w:spacing w:val="-4"/>
        </w:rPr>
        <w:t>s</w:t>
      </w:r>
      <w:r w:rsidR="003C7DA6" w:rsidRPr="00751136">
        <w:rPr>
          <w:rFonts w:eastAsia="Arial Unicode MS"/>
          <w:color w:val="auto"/>
        </w:rPr>
        <w:t xml:space="preserve"> and other accounts receivable </w:t>
      </w:r>
      <w:r w:rsidRPr="00751136">
        <w:rPr>
          <w:rFonts w:eastAsia="Arial Unicode MS"/>
          <w:color w:val="auto"/>
        </w:rPr>
        <w:t xml:space="preserve">which is subsequently measured at </w:t>
      </w:r>
      <w:proofErr w:type="spellStart"/>
      <w:r w:rsidRPr="00751136">
        <w:rPr>
          <w:rFonts w:eastAsia="Arial Unicode MS"/>
          <w:color w:val="auto"/>
        </w:rPr>
        <w:t>amortised</w:t>
      </w:r>
      <w:proofErr w:type="spellEnd"/>
      <w:r w:rsidRPr="00751136">
        <w:rPr>
          <w:rFonts w:eastAsia="Arial Unicode MS"/>
          <w:color w:val="auto"/>
        </w:rPr>
        <w:t xml:space="preserve"> cost.</w:t>
      </w:r>
    </w:p>
    <w:p w14:paraId="542233A1" w14:textId="77777777" w:rsidR="00620CE6" w:rsidRPr="00751136" w:rsidRDefault="00620CE6" w:rsidP="0003043C">
      <w:pPr>
        <w:pStyle w:val="BodyTextIndent"/>
        <w:ind w:left="547"/>
        <w:rPr>
          <w:color w:val="auto"/>
          <w:szCs w:val="20"/>
          <w:highlight w:val="yellow"/>
        </w:rPr>
      </w:pPr>
    </w:p>
    <w:p w14:paraId="3F23841A" w14:textId="6A2C523B" w:rsidR="00620CE6" w:rsidRPr="00751136" w:rsidRDefault="00620CE6" w:rsidP="0003043C">
      <w:pPr>
        <w:pStyle w:val="BodyTextIndent"/>
        <w:tabs>
          <w:tab w:val="right" w:pos="9360"/>
        </w:tabs>
        <w:ind w:left="547"/>
        <w:rPr>
          <w:szCs w:val="20"/>
        </w:rPr>
      </w:pPr>
      <w:r w:rsidRPr="00751136">
        <w:rPr>
          <w:spacing w:val="-4"/>
          <w:szCs w:val="20"/>
        </w:rPr>
        <w:t xml:space="preserve">Investments debt securities are stated at fair value. The fair value is based on the latest yield quoted </w:t>
      </w:r>
      <w:r w:rsidRPr="00751136">
        <w:rPr>
          <w:szCs w:val="20"/>
        </w:rPr>
        <w:t xml:space="preserve">by The Thai Bond Market Association at the statement of financial position date, or a bid yield of freed by a finance institution (Market Maker) if there was no yield on that date or, otherwise, are stated at fair value calculated by the </w:t>
      </w:r>
      <w:r w:rsidR="000C1DE1" w:rsidRPr="00751136">
        <w:rPr>
          <w:szCs w:val="20"/>
        </w:rPr>
        <w:t>REIT Manager</w:t>
      </w:r>
      <w:r w:rsidRPr="00751136">
        <w:rPr>
          <w:szCs w:val="20"/>
        </w:rPr>
        <w:t>, which follows the guideline in the announcement of The Association of Investment Management Companies.</w:t>
      </w:r>
    </w:p>
    <w:p w14:paraId="508FA067" w14:textId="77777777" w:rsidR="00620CE6" w:rsidRPr="00751136" w:rsidRDefault="00620CE6" w:rsidP="0003043C">
      <w:pPr>
        <w:pStyle w:val="BodyTextIndent"/>
        <w:ind w:left="547"/>
        <w:rPr>
          <w:color w:val="auto"/>
          <w:szCs w:val="20"/>
          <w:highlight w:val="yellow"/>
        </w:rPr>
      </w:pPr>
    </w:p>
    <w:p w14:paraId="310969C8" w14:textId="77777777" w:rsidR="00620CE6" w:rsidRPr="00751136" w:rsidRDefault="00620CE6" w:rsidP="0003043C">
      <w:pPr>
        <w:pStyle w:val="BodyTextIndent"/>
        <w:tabs>
          <w:tab w:val="right" w:pos="9360"/>
        </w:tabs>
        <w:ind w:left="547"/>
        <w:rPr>
          <w:szCs w:val="20"/>
        </w:rPr>
      </w:pPr>
      <w:r w:rsidRPr="00751136">
        <w:rPr>
          <w:szCs w:val="20"/>
        </w:rPr>
        <w:t xml:space="preserve">Gains or losses from change in fair value of investments are </w:t>
      </w:r>
      <w:proofErr w:type="spellStart"/>
      <w:r w:rsidRPr="00751136">
        <w:rPr>
          <w:szCs w:val="20"/>
        </w:rPr>
        <w:t>recognised</w:t>
      </w:r>
      <w:proofErr w:type="spellEnd"/>
      <w:r w:rsidRPr="00751136">
        <w:rPr>
          <w:szCs w:val="20"/>
        </w:rPr>
        <w:t xml:space="preserve"> in the statement of comprehensive income.</w:t>
      </w:r>
    </w:p>
    <w:p w14:paraId="4E11F6C1" w14:textId="77777777" w:rsidR="00101702" w:rsidRPr="00751136" w:rsidRDefault="00101702" w:rsidP="0003043C">
      <w:pPr>
        <w:pStyle w:val="BodyTextIndent"/>
        <w:ind w:left="547"/>
        <w:rPr>
          <w:color w:val="auto"/>
          <w:szCs w:val="20"/>
          <w:highlight w:val="yellow"/>
        </w:rPr>
      </w:pPr>
    </w:p>
    <w:p w14:paraId="1F18D0EE" w14:textId="67AF313F" w:rsidR="00620CE6" w:rsidRPr="00751136" w:rsidRDefault="00620CE6" w:rsidP="0003043C">
      <w:pPr>
        <w:pStyle w:val="BodyTextIndent"/>
        <w:tabs>
          <w:tab w:val="right" w:pos="9360"/>
        </w:tabs>
        <w:ind w:left="547"/>
        <w:rPr>
          <w:szCs w:val="20"/>
        </w:rPr>
      </w:pPr>
      <w:r w:rsidRPr="00751136">
        <w:rPr>
          <w:spacing w:val="-2"/>
          <w:szCs w:val="20"/>
        </w:rPr>
        <w:t xml:space="preserve">On disposal of an investment, the difference between the net disposal proceeds and the carrying amount is charged or credited to </w:t>
      </w:r>
      <w:r w:rsidRPr="00751136">
        <w:rPr>
          <w:szCs w:val="20"/>
        </w:rPr>
        <w:t>the statement of comprehensive income</w:t>
      </w:r>
      <w:r w:rsidRPr="00751136">
        <w:rPr>
          <w:spacing w:val="-2"/>
          <w:szCs w:val="20"/>
        </w:rPr>
        <w:t xml:space="preserve">. When disposing of </w:t>
      </w:r>
      <w:r w:rsidRPr="00751136">
        <w:rPr>
          <w:szCs w:val="20"/>
        </w:rPr>
        <w:t xml:space="preserve">part of the </w:t>
      </w:r>
      <w:r w:rsidR="00CA1500" w:rsidRPr="00751136">
        <w:rPr>
          <w:szCs w:val="20"/>
        </w:rPr>
        <w:t>Trust</w:t>
      </w:r>
      <w:r w:rsidRPr="00751136">
        <w:rPr>
          <w:szCs w:val="20"/>
        </w:rPr>
        <w:t>’s holding of a particular investment in debt or equity securities, the carrying amount of the disposed part is determined by the weight average carrying amount of the total holding of the investment.</w:t>
      </w:r>
    </w:p>
    <w:p w14:paraId="1CC8D550" w14:textId="77777777" w:rsidR="00542BC6" w:rsidRPr="00751136" w:rsidRDefault="00542BC6" w:rsidP="0003043C">
      <w:pPr>
        <w:pStyle w:val="BodyTextIndent"/>
        <w:ind w:left="547"/>
        <w:rPr>
          <w:color w:val="auto"/>
          <w:szCs w:val="20"/>
          <w:highlight w:val="yellow"/>
        </w:rPr>
      </w:pPr>
    </w:p>
    <w:p w14:paraId="5FAC20D2" w14:textId="6EAD28D2" w:rsidR="00542BC6" w:rsidRPr="00751136" w:rsidRDefault="00542BC6" w:rsidP="0003043C">
      <w:pPr>
        <w:ind w:left="547"/>
        <w:jc w:val="thaiDistribute"/>
        <w:rPr>
          <w:rFonts w:eastAsia="Arial Unicode MS"/>
          <w:color w:val="auto"/>
        </w:rPr>
      </w:pPr>
      <w:r w:rsidRPr="00751136">
        <w:rPr>
          <w:rFonts w:eastAsia="Arial Unicode MS"/>
          <w:color w:val="auto"/>
          <w:spacing w:val="-2"/>
        </w:rPr>
        <w:t xml:space="preserve">All financial liabilities are financial liabilities subsequently measured at </w:t>
      </w:r>
      <w:proofErr w:type="spellStart"/>
      <w:r w:rsidRPr="00751136">
        <w:rPr>
          <w:rFonts w:eastAsia="Arial Unicode MS"/>
          <w:color w:val="auto"/>
          <w:spacing w:val="-2"/>
        </w:rPr>
        <w:t>amortised</w:t>
      </w:r>
      <w:proofErr w:type="spellEnd"/>
      <w:r w:rsidRPr="00751136">
        <w:rPr>
          <w:rFonts w:eastAsia="Arial Unicode MS"/>
          <w:color w:val="auto"/>
          <w:spacing w:val="-2"/>
        </w:rPr>
        <w:t xml:space="preserve"> cost</w:t>
      </w:r>
      <w:r w:rsidR="00FA4AC3" w:rsidRPr="00751136">
        <w:rPr>
          <w:rFonts w:eastAsia="Arial Unicode MS"/>
          <w:color w:val="auto"/>
          <w:spacing w:val="-2"/>
        </w:rPr>
        <w:t>.</w:t>
      </w:r>
      <w:r w:rsidRPr="00751136">
        <w:rPr>
          <w:rFonts w:eastAsia="Arial Unicode MS"/>
          <w:color w:val="auto"/>
          <w:spacing w:val="-2"/>
        </w:rPr>
        <w:t xml:space="preserve"> </w:t>
      </w:r>
      <w:r w:rsidR="00FA4AC3" w:rsidRPr="00751136">
        <w:rPr>
          <w:rFonts w:eastAsia="Arial Unicode MS"/>
          <w:color w:val="auto"/>
          <w:spacing w:val="-2"/>
        </w:rPr>
        <w:t>T</w:t>
      </w:r>
      <w:r w:rsidRPr="00751136">
        <w:rPr>
          <w:rFonts w:eastAsia="Arial Unicode MS"/>
          <w:color w:val="auto"/>
          <w:spacing w:val="-2"/>
        </w:rPr>
        <w:t xml:space="preserve">he </w:t>
      </w:r>
      <w:r w:rsidR="00CA1500" w:rsidRPr="00751136">
        <w:rPr>
          <w:rFonts w:eastAsia="Arial Unicode MS"/>
          <w:color w:val="auto"/>
          <w:spacing w:val="-2"/>
        </w:rPr>
        <w:t>Trust</w:t>
      </w:r>
      <w:r w:rsidRPr="00751136">
        <w:rPr>
          <w:rFonts w:eastAsia="Arial Unicode MS"/>
          <w:color w:val="auto"/>
        </w:rPr>
        <w:t xml:space="preserve"> </w:t>
      </w:r>
      <w:proofErr w:type="spellStart"/>
      <w:r w:rsidRPr="00751136">
        <w:rPr>
          <w:rFonts w:eastAsia="Arial Unicode MS"/>
          <w:color w:val="auto"/>
        </w:rPr>
        <w:t>recognises</w:t>
      </w:r>
      <w:proofErr w:type="spellEnd"/>
      <w:r w:rsidRPr="00751136">
        <w:rPr>
          <w:rFonts w:eastAsia="Arial Unicode MS"/>
          <w:color w:val="auto"/>
        </w:rPr>
        <w:t xml:space="preserve"> financial cost by effective interest rate. </w:t>
      </w:r>
    </w:p>
    <w:p w14:paraId="0F3CD719" w14:textId="2C149700" w:rsidR="00356B85" w:rsidRPr="00751136" w:rsidRDefault="00356B85" w:rsidP="0003043C">
      <w:pPr>
        <w:pStyle w:val="BodyTextIndent"/>
        <w:ind w:left="547"/>
        <w:rPr>
          <w:color w:val="auto"/>
          <w:szCs w:val="20"/>
          <w:highlight w:val="yellow"/>
        </w:rPr>
      </w:pPr>
    </w:p>
    <w:p w14:paraId="4DD36360" w14:textId="77777777" w:rsidR="00356B85" w:rsidRPr="00751136" w:rsidRDefault="00356B85" w:rsidP="0003043C">
      <w:pPr>
        <w:ind w:left="547"/>
        <w:jc w:val="both"/>
        <w:rPr>
          <w:rFonts w:eastAsia="Arial Unicode MS"/>
          <w:i/>
          <w:iCs/>
          <w:color w:val="auto"/>
        </w:rPr>
      </w:pPr>
      <w:r w:rsidRPr="00751136">
        <w:rPr>
          <w:rFonts w:eastAsia="Arial Unicode MS"/>
          <w:i/>
          <w:iCs/>
          <w:color w:val="auto"/>
        </w:rPr>
        <w:t>Impairment</w:t>
      </w:r>
    </w:p>
    <w:p w14:paraId="419830F1" w14:textId="77777777" w:rsidR="00356B85" w:rsidRPr="00751136" w:rsidRDefault="00356B85" w:rsidP="0003043C">
      <w:pPr>
        <w:pStyle w:val="BodyTextIndent"/>
        <w:ind w:left="547"/>
        <w:rPr>
          <w:color w:val="auto"/>
          <w:szCs w:val="20"/>
          <w:highlight w:val="yellow"/>
        </w:rPr>
      </w:pPr>
    </w:p>
    <w:p w14:paraId="069A69F1" w14:textId="77777777" w:rsidR="00356B85" w:rsidRPr="00751136" w:rsidRDefault="00356B85" w:rsidP="0003043C">
      <w:pPr>
        <w:ind w:left="547"/>
        <w:jc w:val="both"/>
        <w:rPr>
          <w:rFonts w:eastAsia="Arial Unicode MS"/>
          <w:color w:val="auto"/>
        </w:rPr>
      </w:pPr>
      <w:r w:rsidRPr="00751136">
        <w:rPr>
          <w:rFonts w:eastAsia="Arial Unicode MS"/>
          <w:color w:val="auto"/>
        </w:rPr>
        <w:t xml:space="preserve">The requirements on the impairment losses will lead to expected credit losses having to be considered and </w:t>
      </w:r>
      <w:proofErr w:type="spellStart"/>
      <w:r w:rsidRPr="00751136">
        <w:rPr>
          <w:rFonts w:eastAsia="Arial Unicode MS"/>
          <w:color w:val="auto"/>
        </w:rPr>
        <w:t>recognised</w:t>
      </w:r>
      <w:proofErr w:type="spellEnd"/>
      <w:r w:rsidRPr="00751136">
        <w:rPr>
          <w:rFonts w:eastAsia="Arial Unicode MS"/>
          <w:color w:val="auto"/>
        </w:rPr>
        <w:t xml:space="preserve"> at the initial recognition and subsequent period. To measure the expected credit losses, rental receivables have been grouped based on shared credit risk characteristics and the days past due. The expected loss rates are based on the historical payment profiles of sales, the corresponding historical credit losses experienced as well as other information that may affect the ability of the customers to settle the receivables.</w:t>
      </w:r>
    </w:p>
    <w:p w14:paraId="6CDEF49A" w14:textId="77777777" w:rsidR="00356B85" w:rsidRPr="00751136" w:rsidRDefault="00356B85" w:rsidP="0003043C">
      <w:pPr>
        <w:pStyle w:val="BodyTextIndent"/>
        <w:ind w:left="547"/>
        <w:rPr>
          <w:color w:val="auto"/>
          <w:szCs w:val="20"/>
          <w:highlight w:val="yellow"/>
        </w:rPr>
      </w:pPr>
    </w:p>
    <w:p w14:paraId="405A9EAC" w14:textId="77777777" w:rsidR="00356B85" w:rsidRPr="00751136" w:rsidRDefault="00356B85" w:rsidP="0003043C">
      <w:pPr>
        <w:tabs>
          <w:tab w:val="left" w:pos="1080"/>
        </w:tabs>
        <w:ind w:left="547"/>
        <w:jc w:val="both"/>
        <w:rPr>
          <w:b/>
          <w:bCs/>
          <w:color w:val="auto"/>
          <w:lang w:val="en-GB"/>
        </w:rPr>
      </w:pPr>
      <w:r w:rsidRPr="00751136">
        <w:rPr>
          <w:rFonts w:eastAsia="Arial Unicode MS"/>
          <w:b/>
          <w:bCs/>
          <w:color w:val="auto"/>
        </w:rPr>
        <w:t>Leases</w:t>
      </w:r>
    </w:p>
    <w:p w14:paraId="6F860785" w14:textId="77777777" w:rsidR="00356B85" w:rsidRPr="00751136" w:rsidRDefault="00356B85" w:rsidP="0003043C">
      <w:pPr>
        <w:pStyle w:val="BodyTextIndent"/>
        <w:ind w:left="547"/>
        <w:rPr>
          <w:color w:val="auto"/>
          <w:szCs w:val="20"/>
          <w:highlight w:val="yellow"/>
        </w:rPr>
      </w:pPr>
    </w:p>
    <w:p w14:paraId="03DB6DC2" w14:textId="4161039E" w:rsidR="00356B85" w:rsidRPr="00751136" w:rsidRDefault="00356B85" w:rsidP="0003043C">
      <w:pPr>
        <w:pStyle w:val="ListParagraph"/>
        <w:tabs>
          <w:tab w:val="left" w:pos="1134"/>
        </w:tabs>
        <w:ind w:left="547"/>
        <w:jc w:val="both"/>
        <w:rPr>
          <w:color w:val="auto"/>
          <w:spacing w:val="-4"/>
        </w:rPr>
      </w:pPr>
      <w:r w:rsidRPr="00751136">
        <w:rPr>
          <w:color w:val="auto"/>
        </w:rPr>
        <w:t xml:space="preserve">Leases are </w:t>
      </w:r>
      <w:proofErr w:type="spellStart"/>
      <w:r w:rsidRPr="00751136">
        <w:rPr>
          <w:color w:val="auto"/>
        </w:rPr>
        <w:t>recognised</w:t>
      </w:r>
      <w:proofErr w:type="spellEnd"/>
      <w:r w:rsidRPr="00751136">
        <w:rPr>
          <w:color w:val="auto"/>
        </w:rPr>
        <w:t xml:space="preserve"> as a right-of-use asset and a corresponding liability at the date at</w:t>
      </w:r>
      <w:r w:rsidRPr="00751136">
        <w:rPr>
          <w:color w:val="auto"/>
          <w:spacing w:val="-4"/>
        </w:rPr>
        <w:t xml:space="preserve"> </w:t>
      </w:r>
      <w:r w:rsidRPr="00751136">
        <w:rPr>
          <w:color w:val="auto"/>
          <w:spacing w:val="-8"/>
        </w:rPr>
        <w:t xml:space="preserve">which the leased asset is available for use by the </w:t>
      </w:r>
      <w:r w:rsidR="00CA1500" w:rsidRPr="00751136">
        <w:rPr>
          <w:color w:val="auto"/>
          <w:spacing w:val="-8"/>
        </w:rPr>
        <w:t>Trust</w:t>
      </w:r>
      <w:r w:rsidRPr="00751136">
        <w:rPr>
          <w:color w:val="auto"/>
          <w:spacing w:val="-8"/>
        </w:rPr>
        <w:t>. Each lease payment is allocated between</w:t>
      </w:r>
      <w:r w:rsidRPr="00751136">
        <w:rPr>
          <w:color w:val="auto"/>
          <w:spacing w:val="-4"/>
        </w:rPr>
        <w:t xml:space="preserve"> the liability and finance cost. </w:t>
      </w:r>
    </w:p>
    <w:p w14:paraId="140E6972" w14:textId="77777777" w:rsidR="00356B85" w:rsidRPr="00751136" w:rsidRDefault="00356B85" w:rsidP="0003043C">
      <w:pPr>
        <w:pStyle w:val="BodyTextIndent"/>
        <w:ind w:left="547"/>
        <w:rPr>
          <w:color w:val="auto"/>
          <w:szCs w:val="20"/>
          <w:highlight w:val="yellow"/>
        </w:rPr>
      </w:pPr>
    </w:p>
    <w:p w14:paraId="07EFF636" w14:textId="7C32A1A4" w:rsidR="00356B85" w:rsidRPr="00751136" w:rsidRDefault="00356B85" w:rsidP="0003043C">
      <w:pPr>
        <w:pStyle w:val="ListParagraph"/>
        <w:tabs>
          <w:tab w:val="left" w:pos="1134"/>
        </w:tabs>
        <w:ind w:left="547"/>
        <w:jc w:val="both"/>
        <w:rPr>
          <w:color w:val="auto"/>
          <w:shd w:val="clear" w:color="auto" w:fill="FFFFFF"/>
        </w:rPr>
      </w:pPr>
      <w:r w:rsidRPr="00751136">
        <w:rPr>
          <w:color w:val="auto"/>
        </w:rPr>
        <w:t xml:space="preserve">The finance cost is charged to profit or loss over the lease period to produce a constant periodic </w:t>
      </w:r>
      <w:r w:rsidRPr="00751136">
        <w:rPr>
          <w:color w:val="auto"/>
          <w:spacing w:val="-4"/>
        </w:rPr>
        <w:t xml:space="preserve">rate of interest on the remaining balance of the liability for each period. The </w:t>
      </w:r>
      <w:r w:rsidR="00CA1500" w:rsidRPr="00751136">
        <w:rPr>
          <w:color w:val="auto"/>
          <w:spacing w:val="-4"/>
        </w:rPr>
        <w:t>Trust</w:t>
      </w:r>
      <w:r w:rsidRPr="00751136">
        <w:rPr>
          <w:color w:val="auto"/>
          <w:spacing w:val="-4"/>
        </w:rPr>
        <w:t xml:space="preserve"> states</w:t>
      </w:r>
      <w:r w:rsidRPr="00751136">
        <w:rPr>
          <w:color w:val="auto"/>
          <w:spacing w:val="-4"/>
          <w:shd w:val="clear" w:color="auto" w:fill="FFFFFF"/>
        </w:rPr>
        <w:t xml:space="preserve"> right-of-use</w:t>
      </w:r>
      <w:r w:rsidRPr="00751136">
        <w:rPr>
          <w:color w:val="auto"/>
          <w:shd w:val="clear" w:color="auto" w:fill="FFFFFF"/>
        </w:rPr>
        <w:t xml:space="preserve"> assets as part of investments in properties at fair value</w:t>
      </w:r>
      <w:r w:rsidRPr="00751136">
        <w:rPr>
          <w:color w:val="auto"/>
          <w:shd w:val="clear" w:color="auto" w:fill="FFFFFF"/>
          <w:cs/>
        </w:rPr>
        <w:t xml:space="preserve"> </w:t>
      </w:r>
      <w:r w:rsidRPr="00751136">
        <w:rPr>
          <w:color w:val="auto"/>
          <w:shd w:val="clear" w:color="auto" w:fill="FFFFFF"/>
          <w:lang w:val="en-GB"/>
        </w:rPr>
        <w:t>with no depreciation charge</w:t>
      </w:r>
      <w:r w:rsidRPr="00751136">
        <w:rPr>
          <w:color w:val="auto"/>
          <w:shd w:val="clear" w:color="auto" w:fill="FFFFFF"/>
        </w:rPr>
        <w:t>.</w:t>
      </w:r>
    </w:p>
    <w:p w14:paraId="04A1CDCF" w14:textId="77777777" w:rsidR="005B01B0" w:rsidRPr="00751136" w:rsidRDefault="005B01B0" w:rsidP="0003043C">
      <w:pPr>
        <w:pStyle w:val="BodyTextIndent"/>
        <w:ind w:left="547"/>
        <w:rPr>
          <w:color w:val="auto"/>
          <w:szCs w:val="20"/>
          <w:highlight w:val="yellow"/>
          <w:cs/>
        </w:rPr>
      </w:pPr>
    </w:p>
    <w:p w14:paraId="757B92C0" w14:textId="48EA8EBC" w:rsidR="00356B85" w:rsidRPr="00751136" w:rsidRDefault="00564C72" w:rsidP="0003043C">
      <w:pPr>
        <w:tabs>
          <w:tab w:val="left" w:pos="567"/>
        </w:tabs>
        <w:ind w:left="547"/>
        <w:jc w:val="both"/>
        <w:rPr>
          <w:color w:val="auto"/>
        </w:rPr>
      </w:pPr>
      <w:r w:rsidRPr="00751136">
        <w:rPr>
          <w:color w:val="auto"/>
        </w:rPr>
        <w:br w:type="page"/>
      </w:r>
      <w:r w:rsidR="00356B85" w:rsidRPr="00751136">
        <w:rPr>
          <w:color w:val="auto"/>
        </w:rPr>
        <w:lastRenderedPageBreak/>
        <w:t>Assets and liabilities arising from a lease are initially measured on a net present value of the following lease payments:</w:t>
      </w:r>
    </w:p>
    <w:p w14:paraId="20B9C790" w14:textId="77777777" w:rsidR="00356B85" w:rsidRPr="00751136" w:rsidRDefault="00356B85" w:rsidP="0003043C">
      <w:pPr>
        <w:pStyle w:val="BodyTextIndent"/>
        <w:ind w:left="900" w:hanging="360"/>
        <w:rPr>
          <w:color w:val="auto"/>
          <w:szCs w:val="20"/>
          <w:highlight w:val="yellow"/>
        </w:rPr>
      </w:pPr>
    </w:p>
    <w:p w14:paraId="1229A3E0" w14:textId="61F0AB4F" w:rsidR="00356B85" w:rsidRPr="00751136" w:rsidRDefault="00356B85" w:rsidP="0003043C">
      <w:pPr>
        <w:pStyle w:val="ListParagraph"/>
        <w:numPr>
          <w:ilvl w:val="3"/>
          <w:numId w:val="42"/>
        </w:numPr>
        <w:tabs>
          <w:tab w:val="left" w:pos="900"/>
        </w:tabs>
        <w:ind w:left="900"/>
        <w:contextualSpacing w:val="0"/>
        <w:jc w:val="both"/>
        <w:rPr>
          <w:color w:val="auto"/>
        </w:rPr>
      </w:pPr>
      <w:r w:rsidRPr="00751136">
        <w:rPr>
          <w:color w:val="auto"/>
        </w:rPr>
        <w:t>fixed payments, less any lease incentives receivable</w:t>
      </w:r>
    </w:p>
    <w:p w14:paraId="62808391" w14:textId="77777777" w:rsidR="00356B85" w:rsidRPr="00751136" w:rsidRDefault="00356B85" w:rsidP="0003043C">
      <w:pPr>
        <w:pStyle w:val="ListParagraph"/>
        <w:numPr>
          <w:ilvl w:val="0"/>
          <w:numId w:val="42"/>
        </w:numPr>
        <w:tabs>
          <w:tab w:val="left" w:pos="900"/>
        </w:tabs>
        <w:contextualSpacing w:val="0"/>
        <w:jc w:val="both"/>
        <w:rPr>
          <w:color w:val="auto"/>
        </w:rPr>
      </w:pPr>
      <w:r w:rsidRPr="00751136">
        <w:rPr>
          <w:color w:val="auto"/>
        </w:rPr>
        <w:t>variable lease payment that are based on an index or a rate</w:t>
      </w:r>
    </w:p>
    <w:p w14:paraId="77443E8B" w14:textId="77777777" w:rsidR="00356B85" w:rsidRPr="00751136" w:rsidRDefault="00356B85" w:rsidP="0003043C">
      <w:pPr>
        <w:pStyle w:val="ListParagraph"/>
        <w:numPr>
          <w:ilvl w:val="0"/>
          <w:numId w:val="42"/>
        </w:numPr>
        <w:tabs>
          <w:tab w:val="left" w:pos="900"/>
        </w:tabs>
        <w:contextualSpacing w:val="0"/>
        <w:jc w:val="both"/>
        <w:rPr>
          <w:color w:val="auto"/>
        </w:rPr>
      </w:pPr>
      <w:r w:rsidRPr="00751136">
        <w:rPr>
          <w:color w:val="auto"/>
        </w:rPr>
        <w:t>amounts expected to be payable by the lessee under residual value guarantees</w:t>
      </w:r>
    </w:p>
    <w:p w14:paraId="102057C8" w14:textId="2F602264" w:rsidR="00356B85" w:rsidRPr="00751136" w:rsidRDefault="00356B85" w:rsidP="0003043C">
      <w:pPr>
        <w:pStyle w:val="ListParagraph"/>
        <w:numPr>
          <w:ilvl w:val="0"/>
          <w:numId w:val="42"/>
        </w:numPr>
        <w:tabs>
          <w:tab w:val="left" w:pos="900"/>
        </w:tabs>
        <w:contextualSpacing w:val="0"/>
        <w:jc w:val="both"/>
        <w:rPr>
          <w:color w:val="auto"/>
        </w:rPr>
      </w:pPr>
      <w:r w:rsidRPr="00751136">
        <w:rPr>
          <w:color w:val="auto"/>
          <w:spacing w:val="-4"/>
        </w:rPr>
        <w:t xml:space="preserve">the exercise price of a purchase option if the </w:t>
      </w:r>
      <w:r w:rsidR="00CA1500" w:rsidRPr="00751136">
        <w:rPr>
          <w:color w:val="auto"/>
          <w:spacing w:val="-4"/>
        </w:rPr>
        <w:t>Trust</w:t>
      </w:r>
      <w:r w:rsidRPr="00751136">
        <w:rPr>
          <w:color w:val="auto"/>
          <w:spacing w:val="-4"/>
        </w:rPr>
        <w:t xml:space="preserve"> is reasonably certain to exercise that</w:t>
      </w:r>
      <w:r w:rsidR="005B01B0" w:rsidRPr="00751136">
        <w:rPr>
          <w:color w:val="auto"/>
          <w:spacing w:val="-4"/>
          <w:cs/>
        </w:rPr>
        <w:t xml:space="preserve"> </w:t>
      </w:r>
      <w:r w:rsidRPr="00751136">
        <w:rPr>
          <w:color w:val="auto"/>
          <w:spacing w:val="-4"/>
        </w:rPr>
        <w:t>option,</w:t>
      </w:r>
      <w:r w:rsidRPr="00751136">
        <w:rPr>
          <w:color w:val="auto"/>
        </w:rPr>
        <w:t xml:space="preserve"> and</w:t>
      </w:r>
    </w:p>
    <w:p w14:paraId="43D43BBE" w14:textId="643D68B4" w:rsidR="00356B85" w:rsidRPr="00751136" w:rsidRDefault="00356B85" w:rsidP="0003043C">
      <w:pPr>
        <w:pStyle w:val="ListParagraph"/>
        <w:numPr>
          <w:ilvl w:val="0"/>
          <w:numId w:val="42"/>
        </w:numPr>
        <w:tabs>
          <w:tab w:val="left" w:pos="900"/>
        </w:tabs>
        <w:contextualSpacing w:val="0"/>
        <w:jc w:val="both"/>
        <w:rPr>
          <w:color w:val="auto"/>
        </w:rPr>
      </w:pPr>
      <w:r w:rsidRPr="00751136">
        <w:rPr>
          <w:color w:val="auto"/>
          <w:spacing w:val="-4"/>
        </w:rPr>
        <w:t xml:space="preserve">payments of penalties for terminating the lease, if the lease term reflects the </w:t>
      </w:r>
      <w:r w:rsidR="00CA1500" w:rsidRPr="00751136">
        <w:rPr>
          <w:color w:val="auto"/>
          <w:spacing w:val="-4"/>
        </w:rPr>
        <w:t>Trust</w:t>
      </w:r>
      <w:r w:rsidRPr="00751136">
        <w:rPr>
          <w:color w:val="auto"/>
          <w:spacing w:val="-4"/>
        </w:rPr>
        <w:t xml:space="preserve"> exercising</w:t>
      </w:r>
      <w:r w:rsidRPr="00751136">
        <w:rPr>
          <w:color w:val="auto"/>
        </w:rPr>
        <w:t xml:space="preserve"> that option.</w:t>
      </w:r>
    </w:p>
    <w:p w14:paraId="6A3AEACE" w14:textId="77777777" w:rsidR="00564C72" w:rsidRPr="00751136" w:rsidRDefault="00564C72" w:rsidP="0003043C">
      <w:pPr>
        <w:pStyle w:val="BodyTextIndent"/>
        <w:ind w:left="540"/>
        <w:rPr>
          <w:color w:val="auto"/>
        </w:rPr>
      </w:pPr>
    </w:p>
    <w:p w14:paraId="1293A131" w14:textId="0BFC544E" w:rsidR="00356B85" w:rsidRPr="00751136" w:rsidRDefault="00356B85" w:rsidP="0003043C">
      <w:pPr>
        <w:pStyle w:val="BodyTextIndent"/>
        <w:ind w:left="540"/>
        <w:rPr>
          <w:color w:val="auto"/>
          <w:szCs w:val="20"/>
        </w:rPr>
      </w:pPr>
      <w:r w:rsidRPr="00751136">
        <w:rPr>
          <w:color w:val="auto"/>
        </w:rPr>
        <w:t>Th</w:t>
      </w:r>
      <w:r w:rsidRPr="00751136">
        <w:rPr>
          <w:color w:val="auto"/>
          <w:szCs w:val="20"/>
        </w:rPr>
        <w:t xml:space="preserve">e lease payments are discounted using the interest rate implicit in the lease. If that rate cannot be determined, the lessee’s incremental borrowing rate is used, being the rate that the lessee would have to pay to borrow the </w:t>
      </w:r>
      <w:r w:rsidR="00124C69" w:rsidRPr="00751136">
        <w:rPr>
          <w:color w:val="auto"/>
          <w:szCs w:val="20"/>
        </w:rPr>
        <w:t>Trust</w:t>
      </w:r>
      <w:r w:rsidRPr="00751136">
        <w:rPr>
          <w:color w:val="auto"/>
          <w:szCs w:val="20"/>
        </w:rPr>
        <w:t xml:space="preserve"> necessary to obtain an asset of similar value in a similar economic environment with similar terms and conditions. </w:t>
      </w:r>
    </w:p>
    <w:p w14:paraId="449B9072" w14:textId="77777777" w:rsidR="00356B85" w:rsidRPr="00751136" w:rsidRDefault="00356B85" w:rsidP="0003043C">
      <w:pPr>
        <w:pStyle w:val="BodyTextIndent"/>
        <w:ind w:left="540"/>
        <w:rPr>
          <w:color w:val="auto"/>
          <w:szCs w:val="20"/>
          <w:highlight w:val="yellow"/>
        </w:rPr>
      </w:pPr>
    </w:p>
    <w:p w14:paraId="1F012F5F" w14:textId="77777777" w:rsidR="00356B85" w:rsidRPr="00751136" w:rsidRDefault="00356B85" w:rsidP="0003043C">
      <w:pPr>
        <w:pStyle w:val="ListParagraph"/>
        <w:ind w:left="540"/>
        <w:jc w:val="both"/>
        <w:rPr>
          <w:color w:val="auto"/>
        </w:rPr>
      </w:pPr>
      <w:r w:rsidRPr="00751136">
        <w:rPr>
          <w:color w:val="auto"/>
        </w:rPr>
        <w:t xml:space="preserve">Right-of-use assets are </w:t>
      </w:r>
      <w:proofErr w:type="spellStart"/>
      <w:r w:rsidRPr="00751136">
        <w:rPr>
          <w:color w:val="auto"/>
        </w:rPr>
        <w:t>recognised</w:t>
      </w:r>
      <w:proofErr w:type="spellEnd"/>
      <w:r w:rsidRPr="00751136">
        <w:rPr>
          <w:color w:val="auto"/>
        </w:rPr>
        <w:t xml:space="preserve"> by the initial amount of liabilities under lease agreements including the rental payment which paid before or on the date of the contract, net of incentives received under the lease initial direct cost and asset pretreatment costs.</w:t>
      </w:r>
    </w:p>
    <w:p w14:paraId="2CF1A854" w14:textId="77777777" w:rsidR="00356B85" w:rsidRPr="00751136" w:rsidRDefault="00356B85" w:rsidP="0003043C">
      <w:pPr>
        <w:pStyle w:val="BodyTextIndent"/>
        <w:tabs>
          <w:tab w:val="right" w:pos="9360"/>
        </w:tabs>
        <w:ind w:left="540"/>
        <w:rPr>
          <w:spacing w:val="-2"/>
          <w:szCs w:val="20"/>
        </w:rPr>
      </w:pPr>
    </w:p>
    <w:p w14:paraId="5B6904DD" w14:textId="5FBC5C48" w:rsidR="009F5625" w:rsidRPr="00751136" w:rsidRDefault="002324FE" w:rsidP="0003043C">
      <w:pPr>
        <w:tabs>
          <w:tab w:val="left" w:pos="558"/>
        </w:tabs>
        <w:rPr>
          <w:b/>
          <w:bCs/>
          <w:color w:val="auto"/>
          <w:lang w:val="en-GB"/>
        </w:rPr>
      </w:pPr>
      <w:r w:rsidRPr="00751136">
        <w:rPr>
          <w:b/>
          <w:bCs/>
          <w:color w:val="auto"/>
          <w:lang w:val="en-GB"/>
        </w:rPr>
        <w:t>3</w:t>
      </w:r>
      <w:r w:rsidR="009F5625" w:rsidRPr="00751136">
        <w:rPr>
          <w:b/>
          <w:bCs/>
          <w:color w:val="auto"/>
          <w:lang w:val="en-GB"/>
        </w:rPr>
        <w:t>.</w:t>
      </w:r>
      <w:r w:rsidR="00520FCC" w:rsidRPr="00751136">
        <w:rPr>
          <w:b/>
          <w:bCs/>
          <w:color w:val="auto"/>
          <w:lang w:val="en-GB"/>
        </w:rPr>
        <w:t>2</w:t>
      </w:r>
      <w:r w:rsidR="009F5625" w:rsidRPr="00751136">
        <w:rPr>
          <w:b/>
          <w:bCs/>
          <w:color w:val="auto"/>
          <w:lang w:val="en-GB"/>
        </w:rPr>
        <w:tab/>
        <w:t>Investment valuation</w:t>
      </w:r>
    </w:p>
    <w:p w14:paraId="66EC6634" w14:textId="77777777" w:rsidR="009F5625" w:rsidRPr="00751136" w:rsidRDefault="009F5625" w:rsidP="0003043C">
      <w:pPr>
        <w:ind w:left="547"/>
        <w:jc w:val="thaiDistribute"/>
        <w:rPr>
          <w:rFonts w:eastAsia="Arial Unicode MS"/>
          <w:color w:val="auto"/>
        </w:rPr>
      </w:pPr>
    </w:p>
    <w:p w14:paraId="756E64A2" w14:textId="60CE7B17" w:rsidR="009F5625" w:rsidRPr="00751136" w:rsidRDefault="009F5625" w:rsidP="0003043C">
      <w:pPr>
        <w:pStyle w:val="BodyTextIndent"/>
        <w:ind w:left="547"/>
        <w:rPr>
          <w:b/>
          <w:bCs/>
          <w:szCs w:val="20"/>
        </w:rPr>
      </w:pPr>
      <w:r w:rsidRPr="00751136">
        <w:rPr>
          <w:b/>
          <w:bCs/>
          <w:szCs w:val="20"/>
        </w:rPr>
        <w:t>Investments in properties at fair value</w:t>
      </w:r>
    </w:p>
    <w:p w14:paraId="6C551B4D" w14:textId="77777777" w:rsidR="009F5625" w:rsidRPr="00751136" w:rsidRDefault="009F5625" w:rsidP="0003043C">
      <w:pPr>
        <w:ind w:left="547"/>
        <w:jc w:val="thaiDistribute"/>
        <w:rPr>
          <w:rFonts w:eastAsia="Arial Unicode MS"/>
          <w:color w:val="auto"/>
        </w:rPr>
      </w:pPr>
    </w:p>
    <w:p w14:paraId="27179835" w14:textId="47013C97" w:rsidR="009F5625" w:rsidRPr="00751136" w:rsidRDefault="009F5625" w:rsidP="0003043C">
      <w:pPr>
        <w:pStyle w:val="BodyTextIndent"/>
        <w:ind w:left="547"/>
        <w:rPr>
          <w:szCs w:val="20"/>
        </w:rPr>
      </w:pPr>
      <w:r w:rsidRPr="00751136">
        <w:rPr>
          <w:spacing w:val="-4"/>
          <w:szCs w:val="20"/>
        </w:rPr>
        <w:t>Investment</w:t>
      </w:r>
      <w:r w:rsidR="00FA4AC3" w:rsidRPr="00751136">
        <w:rPr>
          <w:spacing w:val="-4"/>
          <w:szCs w:val="20"/>
        </w:rPr>
        <w:t>s</w:t>
      </w:r>
      <w:r w:rsidRPr="00751136">
        <w:rPr>
          <w:spacing w:val="-4"/>
          <w:szCs w:val="20"/>
        </w:rPr>
        <w:t xml:space="preserve"> in properties are stated at fair value with no depreciation charge. The </w:t>
      </w:r>
      <w:r w:rsidR="000C1DE1" w:rsidRPr="00751136">
        <w:rPr>
          <w:spacing w:val="-4"/>
          <w:szCs w:val="20"/>
        </w:rPr>
        <w:t>REIT Manager</w:t>
      </w:r>
      <w:r w:rsidRPr="00751136">
        <w:rPr>
          <w:szCs w:val="20"/>
        </w:rPr>
        <w:t xml:space="preserve"> measured their fair value as at first </w:t>
      </w:r>
      <w:r w:rsidR="00CD3951" w:rsidRPr="00751136">
        <w:rPr>
          <w:szCs w:val="20"/>
        </w:rPr>
        <w:t>statement of financial position</w:t>
      </w:r>
      <w:r w:rsidRPr="00751136">
        <w:rPr>
          <w:szCs w:val="20"/>
        </w:rPr>
        <w:t xml:space="preserve"> date at the acquisition cost of the property. At the subsequent</w:t>
      </w:r>
      <w:r w:rsidR="00CD3951" w:rsidRPr="00751136">
        <w:rPr>
          <w:szCs w:val="20"/>
        </w:rPr>
        <w:t xml:space="preserve"> </w:t>
      </w:r>
      <w:r w:rsidRPr="00751136">
        <w:rPr>
          <w:szCs w:val="20"/>
        </w:rPr>
        <w:t>date</w:t>
      </w:r>
      <w:r w:rsidR="00CD3951" w:rsidRPr="00751136">
        <w:rPr>
          <w:szCs w:val="20"/>
        </w:rPr>
        <w:t xml:space="preserve"> </w:t>
      </w:r>
      <w:r w:rsidRPr="00751136">
        <w:rPr>
          <w:szCs w:val="20"/>
        </w:rPr>
        <w:t xml:space="preserve">they are presented at fair value which is based on appraisal value by independent valuer approved by the Securities and Exchange Commission. The </w:t>
      </w:r>
      <w:r w:rsidR="000C1DE1" w:rsidRPr="00751136">
        <w:rPr>
          <w:szCs w:val="20"/>
        </w:rPr>
        <w:t>REIT Manager</w:t>
      </w:r>
      <w:r w:rsidRPr="00751136">
        <w:rPr>
          <w:szCs w:val="20"/>
        </w:rPr>
        <w:t xml:space="preserve"> will conduct appraisal of properties every year from the date of the appraisal for purchase or lease of the properties. The </w:t>
      </w:r>
      <w:r w:rsidR="000C1DE1" w:rsidRPr="00751136">
        <w:rPr>
          <w:szCs w:val="20"/>
        </w:rPr>
        <w:t>REIT Manager</w:t>
      </w:r>
      <w:r w:rsidRPr="00751136">
        <w:rPr>
          <w:szCs w:val="20"/>
        </w:rPr>
        <w:t xml:space="preserve"> will not appoint any Appraiser to appraise the property or leased property for more than </w:t>
      </w:r>
      <w:r w:rsidR="001659E8" w:rsidRPr="00751136">
        <w:rPr>
          <w:szCs w:val="20"/>
          <w:lang w:val="en-GB"/>
        </w:rPr>
        <w:t>2</w:t>
      </w:r>
      <w:r w:rsidRPr="00751136">
        <w:rPr>
          <w:szCs w:val="20"/>
        </w:rPr>
        <w:t xml:space="preserve"> consecutive times.</w:t>
      </w:r>
      <w:r w:rsidR="000D485B" w:rsidRPr="00751136">
        <w:rPr>
          <w:szCs w:val="20"/>
        </w:rPr>
        <w:t xml:space="preserve"> </w:t>
      </w:r>
    </w:p>
    <w:p w14:paraId="13706CC3" w14:textId="0DA5EE3C" w:rsidR="00620CE6" w:rsidRPr="00751136" w:rsidRDefault="00620CE6" w:rsidP="0003043C">
      <w:pPr>
        <w:pStyle w:val="BodyTextIndent"/>
        <w:ind w:left="547"/>
        <w:rPr>
          <w:color w:val="auto"/>
          <w:szCs w:val="20"/>
          <w:highlight w:val="yellow"/>
        </w:rPr>
      </w:pPr>
    </w:p>
    <w:p w14:paraId="7648EF90" w14:textId="1826D810" w:rsidR="00044635" w:rsidRPr="00751136" w:rsidRDefault="00044635" w:rsidP="0003043C">
      <w:pPr>
        <w:pStyle w:val="BodyTextIndent"/>
        <w:ind w:left="547"/>
        <w:rPr>
          <w:szCs w:val="20"/>
        </w:rPr>
      </w:pPr>
      <w:r w:rsidRPr="00751136">
        <w:rPr>
          <w:szCs w:val="20"/>
        </w:rPr>
        <w:t xml:space="preserve">The fair value of investments in properties is added back any </w:t>
      </w:r>
      <w:proofErr w:type="spellStart"/>
      <w:r w:rsidRPr="00751136">
        <w:rPr>
          <w:szCs w:val="20"/>
        </w:rPr>
        <w:t>recognised</w:t>
      </w:r>
      <w:proofErr w:type="spellEnd"/>
      <w:r w:rsidRPr="00751136">
        <w:rPr>
          <w:szCs w:val="20"/>
        </w:rPr>
        <w:t xml:space="preserve"> lease liability to arrive at the carrying amount of the investment property using the fair value model in accordance with </w:t>
      </w:r>
      <w:r w:rsidRPr="00751136">
        <w:rPr>
          <w:rFonts w:eastAsia="Calibri"/>
          <w:color w:val="auto"/>
          <w:szCs w:val="20"/>
          <w:lang w:bidi="ar-SA"/>
        </w:rPr>
        <w:t>accounting guidelines</w:t>
      </w:r>
      <w:r w:rsidRPr="00751136">
        <w:rPr>
          <w:szCs w:val="20"/>
        </w:rPr>
        <w:t>.</w:t>
      </w:r>
    </w:p>
    <w:p w14:paraId="2C987AE3" w14:textId="77777777" w:rsidR="00356B85" w:rsidRPr="00751136" w:rsidRDefault="00356B85" w:rsidP="0003043C">
      <w:pPr>
        <w:pStyle w:val="BodyTextIndent"/>
        <w:tabs>
          <w:tab w:val="right" w:pos="9360"/>
        </w:tabs>
        <w:ind w:left="547"/>
        <w:rPr>
          <w:spacing w:val="-2"/>
          <w:szCs w:val="20"/>
        </w:rPr>
      </w:pPr>
    </w:p>
    <w:p w14:paraId="70AF334C" w14:textId="5882C4FE" w:rsidR="00356B85" w:rsidRPr="00751136" w:rsidRDefault="002324FE" w:rsidP="0003043C">
      <w:pPr>
        <w:tabs>
          <w:tab w:val="left" w:pos="558"/>
        </w:tabs>
        <w:rPr>
          <w:b/>
          <w:bCs/>
          <w:color w:val="auto"/>
          <w:lang w:val="en-GB"/>
        </w:rPr>
      </w:pPr>
      <w:r w:rsidRPr="00751136">
        <w:rPr>
          <w:b/>
          <w:bCs/>
          <w:color w:val="auto"/>
          <w:lang w:val="en-GB"/>
        </w:rPr>
        <w:t>3</w:t>
      </w:r>
      <w:r w:rsidR="00356B85" w:rsidRPr="00751136">
        <w:rPr>
          <w:b/>
          <w:bCs/>
          <w:color w:val="auto"/>
          <w:lang w:val="en-GB"/>
        </w:rPr>
        <w:t>.</w:t>
      </w:r>
      <w:r w:rsidR="00CA1500" w:rsidRPr="00751136">
        <w:rPr>
          <w:b/>
          <w:bCs/>
          <w:color w:val="auto"/>
          <w:lang w:val="en-GB"/>
        </w:rPr>
        <w:t>3</w:t>
      </w:r>
      <w:r w:rsidR="00356B85" w:rsidRPr="00751136">
        <w:rPr>
          <w:b/>
          <w:bCs/>
          <w:color w:val="auto"/>
          <w:lang w:val="en-GB"/>
        </w:rPr>
        <w:tab/>
        <w:t>Rental receivables</w:t>
      </w:r>
    </w:p>
    <w:p w14:paraId="540E8612" w14:textId="77777777" w:rsidR="005B01B0" w:rsidRPr="00751136" w:rsidRDefault="005B01B0" w:rsidP="0003043C">
      <w:pPr>
        <w:pStyle w:val="BodyTextIndent"/>
        <w:tabs>
          <w:tab w:val="right" w:pos="9360"/>
        </w:tabs>
        <w:ind w:left="547"/>
        <w:rPr>
          <w:spacing w:val="-6"/>
          <w:szCs w:val="20"/>
        </w:rPr>
      </w:pPr>
    </w:p>
    <w:p w14:paraId="713D9BE4" w14:textId="61C4C034" w:rsidR="00356B85" w:rsidRPr="00751136" w:rsidRDefault="00356B85" w:rsidP="0003043C">
      <w:pPr>
        <w:pStyle w:val="BodyTextIndent"/>
        <w:tabs>
          <w:tab w:val="right" w:pos="9360"/>
        </w:tabs>
        <w:ind w:left="547"/>
        <w:rPr>
          <w:szCs w:val="20"/>
        </w:rPr>
      </w:pPr>
      <w:r w:rsidRPr="00751136">
        <w:rPr>
          <w:spacing w:val="-6"/>
          <w:szCs w:val="20"/>
        </w:rPr>
        <w:t xml:space="preserve">Rental receivables are </w:t>
      </w:r>
      <w:proofErr w:type="spellStart"/>
      <w:r w:rsidRPr="00751136">
        <w:rPr>
          <w:spacing w:val="-6"/>
          <w:szCs w:val="20"/>
        </w:rPr>
        <w:t>recognised</w:t>
      </w:r>
      <w:proofErr w:type="spellEnd"/>
      <w:r w:rsidRPr="00751136">
        <w:rPr>
          <w:spacing w:val="-6"/>
          <w:szCs w:val="20"/>
        </w:rPr>
        <w:t xml:space="preserve"> initially at the amount of consideration that is unconditional</w:t>
      </w:r>
      <w:r w:rsidRPr="00751136">
        <w:rPr>
          <w:szCs w:val="20"/>
        </w:rPr>
        <w:t xml:space="preserve"> unless </w:t>
      </w:r>
      <w:r w:rsidRPr="00751136">
        <w:rPr>
          <w:spacing w:val="-4"/>
          <w:szCs w:val="20"/>
        </w:rPr>
        <w:t xml:space="preserve">they contain significant financing components, they are </w:t>
      </w:r>
      <w:proofErr w:type="spellStart"/>
      <w:r w:rsidRPr="00751136">
        <w:rPr>
          <w:spacing w:val="-4"/>
          <w:szCs w:val="20"/>
        </w:rPr>
        <w:t>recognised</w:t>
      </w:r>
      <w:proofErr w:type="spellEnd"/>
      <w:r w:rsidRPr="00751136">
        <w:rPr>
          <w:spacing w:val="-4"/>
          <w:szCs w:val="20"/>
        </w:rPr>
        <w:t xml:space="preserve"> at fair value. The </w:t>
      </w:r>
      <w:r w:rsidR="00CA1500" w:rsidRPr="00751136">
        <w:rPr>
          <w:spacing w:val="-4"/>
          <w:szCs w:val="20"/>
        </w:rPr>
        <w:t>Trust</w:t>
      </w:r>
      <w:r w:rsidRPr="00751136">
        <w:rPr>
          <w:spacing w:val="-4"/>
          <w:szCs w:val="20"/>
        </w:rPr>
        <w:t xml:space="preserve"> holds</w:t>
      </w:r>
      <w:r w:rsidRPr="00751136">
        <w:rPr>
          <w:szCs w:val="20"/>
        </w:rPr>
        <w:t xml:space="preserve"> the </w:t>
      </w:r>
      <w:r w:rsidRPr="00751136">
        <w:rPr>
          <w:spacing w:val="-4"/>
          <w:szCs w:val="20"/>
        </w:rPr>
        <w:t>rental receivables with the objective to collect the contractual cash flows and therefore</w:t>
      </w:r>
      <w:r w:rsidRPr="00751136">
        <w:rPr>
          <w:szCs w:val="20"/>
        </w:rPr>
        <w:t xml:space="preserve"> </w:t>
      </w:r>
      <w:r w:rsidRPr="00751136">
        <w:rPr>
          <w:spacing w:val="-4"/>
          <w:szCs w:val="20"/>
        </w:rPr>
        <w:t>measures</w:t>
      </w:r>
      <w:r w:rsidRPr="00751136">
        <w:rPr>
          <w:szCs w:val="20"/>
        </w:rPr>
        <w:t xml:space="preserve"> them subsequently at </w:t>
      </w:r>
      <w:proofErr w:type="spellStart"/>
      <w:r w:rsidRPr="00751136">
        <w:rPr>
          <w:szCs w:val="20"/>
        </w:rPr>
        <w:t>amortised</w:t>
      </w:r>
      <w:proofErr w:type="spellEnd"/>
      <w:r w:rsidRPr="00751136">
        <w:rPr>
          <w:szCs w:val="20"/>
        </w:rPr>
        <w:t xml:space="preserve"> cost. </w:t>
      </w:r>
    </w:p>
    <w:p w14:paraId="404F5637" w14:textId="77777777" w:rsidR="005B01B0" w:rsidRPr="00751136" w:rsidRDefault="005B01B0" w:rsidP="0003043C">
      <w:pPr>
        <w:pStyle w:val="BodyTextIndent"/>
        <w:tabs>
          <w:tab w:val="right" w:pos="9360"/>
        </w:tabs>
        <w:ind w:left="547"/>
        <w:rPr>
          <w:szCs w:val="20"/>
        </w:rPr>
      </w:pPr>
    </w:p>
    <w:p w14:paraId="02389B13" w14:textId="104C949F" w:rsidR="00356B85" w:rsidRPr="00751136" w:rsidRDefault="00356B85" w:rsidP="0003043C">
      <w:pPr>
        <w:pStyle w:val="BodyTextIndent"/>
        <w:tabs>
          <w:tab w:val="right" w:pos="9360"/>
        </w:tabs>
        <w:ind w:left="547"/>
        <w:rPr>
          <w:szCs w:val="20"/>
        </w:rPr>
      </w:pPr>
      <w:r w:rsidRPr="00751136">
        <w:rPr>
          <w:szCs w:val="20"/>
        </w:rPr>
        <w:t xml:space="preserve">The impairment of rental receivables is disclosed in Note </w:t>
      </w:r>
      <w:r w:rsidR="00244103" w:rsidRPr="00751136">
        <w:rPr>
          <w:szCs w:val="20"/>
          <w:lang w:val="en-GB"/>
        </w:rPr>
        <w:t>3</w:t>
      </w:r>
      <w:r w:rsidRPr="00751136">
        <w:rPr>
          <w:szCs w:val="20"/>
        </w:rPr>
        <w:t>.</w:t>
      </w:r>
      <w:r w:rsidRPr="00751136">
        <w:rPr>
          <w:szCs w:val="20"/>
          <w:lang w:val="en-GB"/>
        </w:rPr>
        <w:t>1</w:t>
      </w:r>
    </w:p>
    <w:p w14:paraId="7347D870" w14:textId="77777777" w:rsidR="00470227" w:rsidRPr="00751136" w:rsidRDefault="00470227" w:rsidP="0003043C">
      <w:pPr>
        <w:pStyle w:val="BodyTextIndent"/>
        <w:tabs>
          <w:tab w:val="right" w:pos="9360"/>
        </w:tabs>
        <w:ind w:left="547"/>
        <w:rPr>
          <w:spacing w:val="-2"/>
          <w:szCs w:val="20"/>
        </w:rPr>
      </w:pPr>
    </w:p>
    <w:p w14:paraId="264742FD" w14:textId="4FEE58BE" w:rsidR="00470227" w:rsidRPr="00751136" w:rsidRDefault="002324FE" w:rsidP="0003043C">
      <w:pPr>
        <w:tabs>
          <w:tab w:val="left" w:pos="558"/>
        </w:tabs>
        <w:rPr>
          <w:b/>
          <w:bCs/>
          <w:color w:val="auto"/>
          <w:lang w:val="en-GB"/>
        </w:rPr>
      </w:pPr>
      <w:r w:rsidRPr="00751136">
        <w:rPr>
          <w:b/>
          <w:bCs/>
          <w:color w:val="auto"/>
          <w:lang w:val="en-GB"/>
        </w:rPr>
        <w:t>3</w:t>
      </w:r>
      <w:r w:rsidR="00470227" w:rsidRPr="00751136">
        <w:rPr>
          <w:b/>
          <w:bCs/>
          <w:color w:val="auto"/>
          <w:lang w:val="en-GB"/>
        </w:rPr>
        <w:t>.4</w:t>
      </w:r>
      <w:r w:rsidR="00470227" w:rsidRPr="00751136">
        <w:rPr>
          <w:b/>
          <w:bCs/>
          <w:color w:val="auto"/>
          <w:lang w:val="en-GB"/>
        </w:rPr>
        <w:tab/>
        <w:t>Income taxes</w:t>
      </w:r>
    </w:p>
    <w:p w14:paraId="16E1B8F5" w14:textId="77777777" w:rsidR="00470227" w:rsidRPr="00751136" w:rsidRDefault="00470227" w:rsidP="0003043C">
      <w:pPr>
        <w:pStyle w:val="BodyTextIndent"/>
        <w:tabs>
          <w:tab w:val="right" w:pos="9360"/>
        </w:tabs>
        <w:ind w:left="547"/>
        <w:rPr>
          <w:spacing w:val="-2"/>
          <w:szCs w:val="20"/>
        </w:rPr>
      </w:pPr>
    </w:p>
    <w:p w14:paraId="6C8148B2" w14:textId="77777777" w:rsidR="00470227" w:rsidRPr="00751136" w:rsidRDefault="00470227" w:rsidP="0003043C">
      <w:pPr>
        <w:pStyle w:val="BodyTextIndent"/>
        <w:tabs>
          <w:tab w:val="right" w:pos="9360"/>
        </w:tabs>
        <w:ind w:left="547"/>
        <w:rPr>
          <w:spacing w:val="-4"/>
          <w:szCs w:val="20"/>
        </w:rPr>
      </w:pPr>
      <w:r w:rsidRPr="00751136">
        <w:rPr>
          <w:spacing w:val="-4"/>
          <w:szCs w:val="20"/>
        </w:rPr>
        <w:t>The Trust is exempted from Thailand corporate income tax. No provision for corporate income tax has been made in the accompanying financial statements.</w:t>
      </w:r>
    </w:p>
    <w:p w14:paraId="42838CF2" w14:textId="77777777" w:rsidR="005B01B0" w:rsidRPr="00751136" w:rsidRDefault="005B01B0" w:rsidP="0003043C">
      <w:pPr>
        <w:pStyle w:val="BodyTextIndent"/>
        <w:tabs>
          <w:tab w:val="right" w:pos="9360"/>
        </w:tabs>
        <w:ind w:left="547"/>
        <w:rPr>
          <w:spacing w:val="-2"/>
          <w:szCs w:val="20"/>
        </w:rPr>
      </w:pPr>
    </w:p>
    <w:p w14:paraId="79A295F4" w14:textId="78A61C0D" w:rsidR="00633BBC" w:rsidRPr="00751136" w:rsidRDefault="00564C72" w:rsidP="0003043C">
      <w:pPr>
        <w:tabs>
          <w:tab w:val="left" w:pos="558"/>
        </w:tabs>
        <w:ind w:left="564" w:hanging="564"/>
        <w:rPr>
          <w:b/>
          <w:bCs/>
          <w:color w:val="auto"/>
          <w:lang w:val="en-GB"/>
        </w:rPr>
      </w:pPr>
      <w:r w:rsidRPr="00751136">
        <w:rPr>
          <w:b/>
          <w:bCs/>
          <w:color w:val="auto"/>
          <w:lang w:val="en-GB"/>
        </w:rPr>
        <w:br w:type="page"/>
      </w:r>
      <w:r w:rsidR="002324FE" w:rsidRPr="00751136">
        <w:rPr>
          <w:b/>
          <w:bCs/>
          <w:color w:val="auto"/>
          <w:lang w:val="en-GB"/>
        </w:rPr>
        <w:lastRenderedPageBreak/>
        <w:t>3</w:t>
      </w:r>
      <w:r w:rsidR="00633BBC" w:rsidRPr="00751136">
        <w:rPr>
          <w:b/>
          <w:bCs/>
          <w:color w:val="auto"/>
          <w:lang w:val="en-GB"/>
        </w:rPr>
        <w:t>.</w:t>
      </w:r>
      <w:r w:rsidR="000335C8" w:rsidRPr="00751136">
        <w:rPr>
          <w:b/>
          <w:bCs/>
          <w:color w:val="auto"/>
          <w:lang w:val="en-GB"/>
        </w:rPr>
        <w:t>5</w:t>
      </w:r>
      <w:r w:rsidR="00633BBC" w:rsidRPr="00751136">
        <w:rPr>
          <w:b/>
          <w:bCs/>
          <w:color w:val="auto"/>
          <w:lang w:val="en-GB"/>
        </w:rPr>
        <w:tab/>
        <w:t xml:space="preserve">Critical accounting estimates, </w:t>
      </w:r>
      <w:r w:rsidR="00E9077A" w:rsidRPr="00751136">
        <w:rPr>
          <w:b/>
          <w:bCs/>
          <w:color w:val="auto"/>
          <w:lang w:val="en-GB"/>
        </w:rPr>
        <w:t>assumptions,</w:t>
      </w:r>
      <w:r w:rsidR="00633BBC" w:rsidRPr="00751136">
        <w:rPr>
          <w:b/>
          <w:bCs/>
          <w:color w:val="auto"/>
          <w:lang w:val="en-GB"/>
        </w:rPr>
        <w:t xml:space="preserve"> and judgments</w:t>
      </w:r>
    </w:p>
    <w:p w14:paraId="0D026887" w14:textId="77777777" w:rsidR="00633BBC" w:rsidRPr="00751136" w:rsidRDefault="00633BBC" w:rsidP="0003043C">
      <w:pPr>
        <w:ind w:left="540"/>
        <w:jc w:val="both"/>
        <w:rPr>
          <w:sz w:val="18"/>
          <w:szCs w:val="18"/>
        </w:rPr>
      </w:pPr>
    </w:p>
    <w:p w14:paraId="3070B5EC" w14:textId="77777777" w:rsidR="00633BBC" w:rsidRPr="00751136" w:rsidRDefault="00633BBC" w:rsidP="0003043C">
      <w:pPr>
        <w:ind w:left="540"/>
        <w:jc w:val="both"/>
      </w:pPr>
      <w:r w:rsidRPr="00751136">
        <w:t>Estimates assumptions and judgements are continually evaluated and are based on historical experience and other factors, including expectations of future events that are believed to be reasonable under the circumstances.</w:t>
      </w:r>
    </w:p>
    <w:p w14:paraId="6EFFDF05" w14:textId="77777777" w:rsidR="00633BBC" w:rsidRPr="00751136" w:rsidRDefault="00633BBC" w:rsidP="0003043C">
      <w:pPr>
        <w:ind w:left="540"/>
        <w:jc w:val="both"/>
        <w:rPr>
          <w:sz w:val="18"/>
          <w:szCs w:val="18"/>
        </w:rPr>
      </w:pPr>
    </w:p>
    <w:p w14:paraId="54BD9588" w14:textId="77777777" w:rsidR="00633BBC" w:rsidRPr="00751136" w:rsidRDefault="00633BBC" w:rsidP="0003043C">
      <w:pPr>
        <w:pStyle w:val="BodyTextIndent"/>
        <w:tabs>
          <w:tab w:val="right" w:pos="9360"/>
        </w:tabs>
        <w:ind w:left="540"/>
        <w:rPr>
          <w:b/>
          <w:bCs/>
          <w:szCs w:val="20"/>
        </w:rPr>
      </w:pPr>
      <w:r w:rsidRPr="00751136">
        <w:rPr>
          <w:b/>
          <w:bCs/>
          <w:szCs w:val="20"/>
        </w:rPr>
        <w:t>Investments in properties at fair value</w:t>
      </w:r>
    </w:p>
    <w:p w14:paraId="683532A6" w14:textId="77777777" w:rsidR="00633BBC" w:rsidRPr="00751136" w:rsidRDefault="00633BBC" w:rsidP="0003043C">
      <w:pPr>
        <w:ind w:left="540"/>
        <w:jc w:val="both"/>
        <w:rPr>
          <w:sz w:val="18"/>
          <w:szCs w:val="18"/>
        </w:rPr>
      </w:pPr>
    </w:p>
    <w:p w14:paraId="5BE4F932" w14:textId="22B2B012" w:rsidR="00633BBC" w:rsidRPr="00751136" w:rsidRDefault="003F703D" w:rsidP="0003043C">
      <w:pPr>
        <w:ind w:left="540"/>
        <w:jc w:val="both"/>
      </w:pPr>
      <w:r w:rsidRPr="00751136">
        <w:t>For t</w:t>
      </w:r>
      <w:r w:rsidR="00633BBC" w:rsidRPr="00751136">
        <w:t>he fair value of investment</w:t>
      </w:r>
      <w:r w:rsidR="00FA4AC3" w:rsidRPr="00751136">
        <w:t>s</w:t>
      </w:r>
      <w:r w:rsidR="00633BBC" w:rsidRPr="00751136">
        <w:t xml:space="preserve"> in properties based on valuations by independent valuer us</w:t>
      </w:r>
      <w:r w:rsidR="007B43BD" w:rsidRPr="00751136">
        <w:t>es</w:t>
      </w:r>
      <w:r w:rsidR="00633BBC" w:rsidRPr="00751136">
        <w:t xml:space="preserve"> income approach method which is measured by discounted cash flow projections from the rental income of current and future leases under the current market conditions and also the related cash outflows. The discount rate reflects current market assessments of the time value of money and risk adjusted which is at the rate of </w:t>
      </w:r>
      <w:r w:rsidR="007E22C1" w:rsidRPr="00751136">
        <w:t>1</w:t>
      </w:r>
      <w:r w:rsidR="000335C8" w:rsidRPr="00751136">
        <w:t>0.</w:t>
      </w:r>
      <w:r w:rsidR="00244103" w:rsidRPr="00751136">
        <w:t>25</w:t>
      </w:r>
      <w:r w:rsidR="00633BBC" w:rsidRPr="00751136">
        <w:t>% per annum.</w:t>
      </w:r>
    </w:p>
    <w:p w14:paraId="76357859" w14:textId="77777777" w:rsidR="00564C72" w:rsidRPr="00751136" w:rsidRDefault="00564C72" w:rsidP="0003043C">
      <w:pPr>
        <w:pStyle w:val="ListParagraph"/>
        <w:tabs>
          <w:tab w:val="left" w:pos="540"/>
        </w:tabs>
        <w:ind w:left="540" w:hanging="540"/>
        <w:jc w:val="both"/>
        <w:rPr>
          <w:b/>
          <w:bCs/>
          <w:sz w:val="18"/>
          <w:szCs w:val="18"/>
        </w:rPr>
      </w:pPr>
    </w:p>
    <w:p w14:paraId="68A6E76E" w14:textId="77777777" w:rsidR="00564C72" w:rsidRPr="00751136" w:rsidRDefault="00564C72" w:rsidP="0003043C">
      <w:pPr>
        <w:pStyle w:val="ListParagraph"/>
        <w:tabs>
          <w:tab w:val="left" w:pos="540"/>
        </w:tabs>
        <w:ind w:left="540" w:hanging="540"/>
        <w:jc w:val="both"/>
        <w:rPr>
          <w:b/>
          <w:bCs/>
          <w:sz w:val="18"/>
          <w:szCs w:val="18"/>
        </w:rPr>
      </w:pPr>
    </w:p>
    <w:p w14:paraId="7BC51794" w14:textId="669E7978" w:rsidR="00356B85" w:rsidRPr="00751136" w:rsidRDefault="002324FE" w:rsidP="0003043C">
      <w:pPr>
        <w:pStyle w:val="ListParagraph"/>
        <w:tabs>
          <w:tab w:val="left" w:pos="540"/>
        </w:tabs>
        <w:ind w:left="540" w:hanging="540"/>
        <w:jc w:val="both"/>
        <w:rPr>
          <w:b/>
          <w:bCs/>
          <w:color w:val="auto"/>
        </w:rPr>
      </w:pPr>
      <w:r w:rsidRPr="00751136">
        <w:rPr>
          <w:b/>
          <w:bCs/>
        </w:rPr>
        <w:t>4</w:t>
      </w:r>
      <w:r w:rsidR="00356B85" w:rsidRPr="00751136">
        <w:rPr>
          <w:b/>
          <w:bCs/>
          <w:color w:val="auto"/>
        </w:rPr>
        <w:tab/>
        <w:t xml:space="preserve">Financial risks </w:t>
      </w:r>
    </w:p>
    <w:p w14:paraId="53268705" w14:textId="77777777" w:rsidR="00356B85" w:rsidRPr="00751136" w:rsidRDefault="00356B85" w:rsidP="0003043C">
      <w:pPr>
        <w:ind w:left="540"/>
        <w:jc w:val="both"/>
        <w:rPr>
          <w:sz w:val="18"/>
          <w:szCs w:val="18"/>
        </w:rPr>
      </w:pPr>
    </w:p>
    <w:p w14:paraId="68194E4E" w14:textId="5A882CFE" w:rsidR="00356B85" w:rsidRPr="00751136" w:rsidRDefault="002324FE" w:rsidP="0003043C">
      <w:pPr>
        <w:tabs>
          <w:tab w:val="left" w:pos="558"/>
        </w:tabs>
        <w:rPr>
          <w:b/>
          <w:bCs/>
          <w:color w:val="auto"/>
          <w:lang w:val="en-GB"/>
        </w:rPr>
      </w:pPr>
      <w:r w:rsidRPr="00751136">
        <w:rPr>
          <w:b/>
          <w:bCs/>
          <w:color w:val="auto"/>
          <w:lang w:val="en-GB"/>
        </w:rPr>
        <w:t>4</w:t>
      </w:r>
      <w:r w:rsidR="00356B85" w:rsidRPr="00751136">
        <w:rPr>
          <w:b/>
          <w:bCs/>
          <w:color w:val="auto"/>
          <w:lang w:val="en-GB"/>
        </w:rPr>
        <w:t>.1</w:t>
      </w:r>
      <w:r w:rsidR="00356B85" w:rsidRPr="00751136">
        <w:rPr>
          <w:b/>
          <w:bCs/>
          <w:color w:val="auto"/>
          <w:lang w:val="en-GB"/>
        </w:rPr>
        <w:tab/>
        <w:t>Interest rate risk</w:t>
      </w:r>
    </w:p>
    <w:p w14:paraId="2DDDED10" w14:textId="77777777" w:rsidR="00356B85" w:rsidRPr="00751136" w:rsidRDefault="00356B85" w:rsidP="0003043C">
      <w:pPr>
        <w:ind w:left="540"/>
        <w:jc w:val="both"/>
        <w:rPr>
          <w:sz w:val="18"/>
          <w:szCs w:val="18"/>
        </w:rPr>
      </w:pPr>
    </w:p>
    <w:p w14:paraId="35DC59C7" w14:textId="77777777" w:rsidR="00356B85" w:rsidRPr="00751136" w:rsidRDefault="00356B85" w:rsidP="0003043C">
      <w:pPr>
        <w:pStyle w:val="BodyTextIndent"/>
        <w:tabs>
          <w:tab w:val="right" w:pos="9360"/>
        </w:tabs>
        <w:ind w:left="547"/>
        <w:rPr>
          <w:color w:val="auto"/>
          <w:szCs w:val="20"/>
        </w:rPr>
      </w:pPr>
      <w:r w:rsidRPr="00751136">
        <w:rPr>
          <w:color w:val="auto"/>
          <w:spacing w:val="-4"/>
          <w:szCs w:val="20"/>
        </w:rPr>
        <w:t>Interest rate risk is the risks associated with the effects of fluctuations in the prevailing levels</w:t>
      </w:r>
      <w:r w:rsidRPr="00751136">
        <w:rPr>
          <w:color w:val="auto"/>
          <w:szCs w:val="20"/>
        </w:rPr>
        <w:t xml:space="preserve"> of market interest rates on its financial assets and </w:t>
      </w:r>
      <w:r w:rsidRPr="00751136">
        <w:rPr>
          <w:rFonts w:eastAsia="Arial Unicode MS"/>
          <w:color w:val="auto"/>
          <w:szCs w:val="20"/>
        </w:rPr>
        <w:t>financial liabilities</w:t>
      </w:r>
      <w:r w:rsidRPr="00751136">
        <w:rPr>
          <w:color w:val="auto"/>
          <w:szCs w:val="20"/>
        </w:rPr>
        <w:t xml:space="preserve">. </w:t>
      </w:r>
    </w:p>
    <w:p w14:paraId="616CEE66" w14:textId="77777777" w:rsidR="00356B85" w:rsidRPr="00751136" w:rsidRDefault="00356B85" w:rsidP="0003043C">
      <w:pPr>
        <w:ind w:left="540"/>
        <w:jc w:val="both"/>
        <w:rPr>
          <w:sz w:val="18"/>
          <w:szCs w:val="18"/>
        </w:rPr>
      </w:pPr>
    </w:p>
    <w:p w14:paraId="2B02A75B" w14:textId="77777777" w:rsidR="00356B85" w:rsidRPr="00751136" w:rsidRDefault="00356B85" w:rsidP="0003043C">
      <w:pPr>
        <w:pStyle w:val="BodyTextIndent"/>
        <w:tabs>
          <w:tab w:val="right" w:pos="9360"/>
        </w:tabs>
        <w:ind w:left="547"/>
        <w:rPr>
          <w:color w:val="auto"/>
          <w:szCs w:val="20"/>
        </w:rPr>
      </w:pPr>
      <w:r w:rsidRPr="00751136">
        <w:rPr>
          <w:color w:val="auto"/>
          <w:spacing w:val="-6"/>
          <w:szCs w:val="20"/>
        </w:rPr>
        <w:t xml:space="preserve">Significant financial assets and liabilities at fair value classified by type of interest rates are </w:t>
      </w:r>
      <w:proofErr w:type="spellStart"/>
      <w:r w:rsidRPr="00751136">
        <w:rPr>
          <w:color w:val="auto"/>
          <w:spacing w:val="-6"/>
          <w:szCs w:val="20"/>
        </w:rPr>
        <w:t>summarised</w:t>
      </w:r>
      <w:proofErr w:type="spellEnd"/>
      <w:r w:rsidRPr="00751136">
        <w:rPr>
          <w:color w:val="auto"/>
          <w:szCs w:val="20"/>
        </w:rPr>
        <w:t xml:space="preserve"> in the table below.</w:t>
      </w:r>
    </w:p>
    <w:p w14:paraId="1FDB21E8" w14:textId="77777777" w:rsidR="00356B85" w:rsidRPr="00751136" w:rsidRDefault="00356B85" w:rsidP="0003043C">
      <w:pPr>
        <w:ind w:left="540"/>
        <w:jc w:val="both"/>
        <w:rPr>
          <w:sz w:val="18"/>
          <w:szCs w:val="18"/>
        </w:rPr>
      </w:pPr>
    </w:p>
    <w:tbl>
      <w:tblPr>
        <w:tblW w:w="8496" w:type="dxa"/>
        <w:tblInd w:w="648" w:type="dxa"/>
        <w:tblLook w:val="04A0" w:firstRow="1" w:lastRow="0" w:firstColumn="1" w:lastColumn="0" w:noHBand="0" w:noVBand="1"/>
      </w:tblPr>
      <w:tblGrid>
        <w:gridCol w:w="2736"/>
        <w:gridCol w:w="1440"/>
        <w:gridCol w:w="1440"/>
        <w:gridCol w:w="1440"/>
        <w:gridCol w:w="1440"/>
      </w:tblGrid>
      <w:tr w:rsidR="0003043C" w:rsidRPr="00751136" w14:paraId="303D9C1D" w14:textId="77777777" w:rsidTr="0003043C">
        <w:tc>
          <w:tcPr>
            <w:tcW w:w="2736" w:type="dxa"/>
            <w:vAlign w:val="bottom"/>
          </w:tcPr>
          <w:p w14:paraId="31911160" w14:textId="77777777" w:rsidR="0003043C" w:rsidRPr="00751136" w:rsidRDefault="0003043C" w:rsidP="0003043C">
            <w:pPr>
              <w:pStyle w:val="BodyTextIndent"/>
              <w:tabs>
                <w:tab w:val="right" w:pos="9360"/>
              </w:tabs>
              <w:ind w:left="-101"/>
              <w:jc w:val="left"/>
              <w:rPr>
                <w:color w:val="auto"/>
                <w:sz w:val="18"/>
                <w:szCs w:val="18"/>
              </w:rPr>
            </w:pPr>
          </w:p>
        </w:tc>
        <w:tc>
          <w:tcPr>
            <w:tcW w:w="5760" w:type="dxa"/>
            <w:gridSpan w:val="4"/>
            <w:tcBorders>
              <w:bottom w:val="single" w:sz="4" w:space="0" w:color="auto"/>
            </w:tcBorders>
            <w:vAlign w:val="bottom"/>
          </w:tcPr>
          <w:p w14:paraId="25545B41" w14:textId="77777777" w:rsidR="0003043C" w:rsidRPr="00751136" w:rsidRDefault="0003043C" w:rsidP="0003043C">
            <w:pPr>
              <w:pStyle w:val="BodyTextIndent"/>
              <w:tabs>
                <w:tab w:val="right" w:pos="9360"/>
              </w:tabs>
              <w:ind w:left="0" w:right="-72"/>
              <w:jc w:val="center"/>
              <w:rPr>
                <w:b/>
                <w:bCs/>
                <w:color w:val="auto"/>
                <w:spacing w:val="-7"/>
                <w:sz w:val="18"/>
                <w:szCs w:val="18"/>
              </w:rPr>
            </w:pPr>
            <w:r w:rsidRPr="00751136">
              <w:rPr>
                <w:b/>
                <w:bCs/>
                <w:color w:val="auto"/>
                <w:spacing w:val="-7"/>
                <w:sz w:val="18"/>
                <w:szCs w:val="18"/>
              </w:rPr>
              <w:t xml:space="preserve">Outstanding balance of financial instruments as at </w:t>
            </w:r>
            <w:r w:rsidRPr="00751136">
              <w:rPr>
                <w:b/>
                <w:bCs/>
                <w:color w:val="auto"/>
                <w:spacing w:val="-7"/>
                <w:sz w:val="18"/>
                <w:szCs w:val="18"/>
                <w:lang w:val="en-GB"/>
              </w:rPr>
              <w:t>31</w:t>
            </w:r>
            <w:r w:rsidRPr="00751136">
              <w:rPr>
                <w:b/>
                <w:bCs/>
                <w:color w:val="auto"/>
                <w:spacing w:val="-7"/>
                <w:sz w:val="18"/>
                <w:szCs w:val="18"/>
              </w:rPr>
              <w:t xml:space="preserve"> December </w:t>
            </w:r>
            <w:r w:rsidRPr="00751136">
              <w:rPr>
                <w:b/>
                <w:bCs/>
                <w:color w:val="auto"/>
                <w:spacing w:val="-7"/>
                <w:sz w:val="18"/>
                <w:szCs w:val="18"/>
                <w:lang w:val="en-GB"/>
              </w:rPr>
              <w:t>2025</w:t>
            </w:r>
          </w:p>
        </w:tc>
      </w:tr>
      <w:tr w:rsidR="0003043C" w:rsidRPr="00751136" w14:paraId="0A2AF443" w14:textId="77777777" w:rsidTr="0003043C">
        <w:tc>
          <w:tcPr>
            <w:tcW w:w="2736" w:type="dxa"/>
            <w:vAlign w:val="bottom"/>
          </w:tcPr>
          <w:p w14:paraId="469AD3A9" w14:textId="77777777" w:rsidR="0003043C" w:rsidRPr="00751136" w:rsidRDefault="0003043C" w:rsidP="0003043C">
            <w:pPr>
              <w:pStyle w:val="BodyTextIndent"/>
              <w:tabs>
                <w:tab w:val="right" w:pos="9360"/>
              </w:tabs>
              <w:ind w:left="-101"/>
              <w:jc w:val="left"/>
              <w:rPr>
                <w:color w:val="auto"/>
                <w:sz w:val="18"/>
                <w:szCs w:val="18"/>
              </w:rPr>
            </w:pPr>
          </w:p>
        </w:tc>
        <w:tc>
          <w:tcPr>
            <w:tcW w:w="1440" w:type="dxa"/>
            <w:tcBorders>
              <w:top w:val="single" w:sz="4" w:space="0" w:color="auto"/>
            </w:tcBorders>
            <w:vAlign w:val="bottom"/>
          </w:tcPr>
          <w:p w14:paraId="3CB6CD0A"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Floating</w:t>
            </w:r>
          </w:p>
        </w:tc>
        <w:tc>
          <w:tcPr>
            <w:tcW w:w="1440" w:type="dxa"/>
            <w:tcBorders>
              <w:top w:val="single" w:sz="4" w:space="0" w:color="auto"/>
            </w:tcBorders>
            <w:vAlign w:val="bottom"/>
          </w:tcPr>
          <w:p w14:paraId="4BE4DFE2"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Fixed</w:t>
            </w:r>
          </w:p>
        </w:tc>
        <w:tc>
          <w:tcPr>
            <w:tcW w:w="1440" w:type="dxa"/>
            <w:tcBorders>
              <w:top w:val="single" w:sz="4" w:space="0" w:color="auto"/>
            </w:tcBorders>
            <w:vAlign w:val="bottom"/>
          </w:tcPr>
          <w:p w14:paraId="266DC67B"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Non-interest</w:t>
            </w:r>
          </w:p>
        </w:tc>
        <w:tc>
          <w:tcPr>
            <w:tcW w:w="1440" w:type="dxa"/>
            <w:tcBorders>
              <w:top w:val="single" w:sz="4" w:space="0" w:color="auto"/>
            </w:tcBorders>
            <w:vAlign w:val="bottom"/>
          </w:tcPr>
          <w:p w14:paraId="5C642D4E" w14:textId="77777777" w:rsidR="0003043C" w:rsidRPr="00751136" w:rsidRDefault="0003043C" w:rsidP="0003043C">
            <w:pPr>
              <w:pStyle w:val="BodyTextIndent"/>
              <w:tabs>
                <w:tab w:val="right" w:pos="9360"/>
              </w:tabs>
              <w:ind w:left="0" w:right="-72"/>
              <w:jc w:val="right"/>
              <w:rPr>
                <w:b/>
                <w:bCs/>
                <w:color w:val="auto"/>
                <w:sz w:val="18"/>
                <w:szCs w:val="18"/>
              </w:rPr>
            </w:pPr>
          </w:p>
        </w:tc>
      </w:tr>
      <w:tr w:rsidR="0003043C" w:rsidRPr="00751136" w14:paraId="0373EADC" w14:textId="77777777" w:rsidTr="0003043C">
        <w:trPr>
          <w:trHeight w:val="74"/>
        </w:trPr>
        <w:tc>
          <w:tcPr>
            <w:tcW w:w="2736" w:type="dxa"/>
            <w:vAlign w:val="bottom"/>
          </w:tcPr>
          <w:p w14:paraId="2CE96989" w14:textId="77777777" w:rsidR="0003043C" w:rsidRPr="00751136" w:rsidRDefault="0003043C" w:rsidP="0003043C">
            <w:pPr>
              <w:pStyle w:val="BodyTextIndent"/>
              <w:tabs>
                <w:tab w:val="right" w:pos="9360"/>
              </w:tabs>
              <w:ind w:left="-101"/>
              <w:jc w:val="left"/>
              <w:rPr>
                <w:color w:val="auto"/>
                <w:sz w:val="18"/>
                <w:szCs w:val="18"/>
              </w:rPr>
            </w:pPr>
          </w:p>
        </w:tc>
        <w:tc>
          <w:tcPr>
            <w:tcW w:w="1440" w:type="dxa"/>
            <w:vAlign w:val="bottom"/>
          </w:tcPr>
          <w:p w14:paraId="11827348"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Interest rate</w:t>
            </w:r>
          </w:p>
        </w:tc>
        <w:tc>
          <w:tcPr>
            <w:tcW w:w="1440" w:type="dxa"/>
            <w:vAlign w:val="bottom"/>
          </w:tcPr>
          <w:p w14:paraId="548D41B5"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Interest rate</w:t>
            </w:r>
          </w:p>
        </w:tc>
        <w:tc>
          <w:tcPr>
            <w:tcW w:w="1440" w:type="dxa"/>
            <w:vAlign w:val="bottom"/>
          </w:tcPr>
          <w:p w14:paraId="4A1EB191"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bearing</w:t>
            </w:r>
          </w:p>
        </w:tc>
        <w:tc>
          <w:tcPr>
            <w:tcW w:w="1440" w:type="dxa"/>
            <w:vAlign w:val="bottom"/>
          </w:tcPr>
          <w:p w14:paraId="168EE856"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Total</w:t>
            </w:r>
          </w:p>
        </w:tc>
      </w:tr>
      <w:tr w:rsidR="0003043C" w:rsidRPr="00751136" w14:paraId="5FD2E13C" w14:textId="77777777" w:rsidTr="0003043C">
        <w:tc>
          <w:tcPr>
            <w:tcW w:w="2736" w:type="dxa"/>
            <w:vAlign w:val="bottom"/>
          </w:tcPr>
          <w:p w14:paraId="1105B591" w14:textId="77777777" w:rsidR="0003043C" w:rsidRPr="00751136" w:rsidRDefault="0003043C" w:rsidP="0003043C">
            <w:pPr>
              <w:pStyle w:val="BodyTextIndent"/>
              <w:tabs>
                <w:tab w:val="right" w:pos="9360"/>
              </w:tabs>
              <w:ind w:left="-101"/>
              <w:jc w:val="left"/>
              <w:rPr>
                <w:color w:val="auto"/>
                <w:sz w:val="18"/>
                <w:szCs w:val="18"/>
              </w:rPr>
            </w:pPr>
          </w:p>
        </w:tc>
        <w:tc>
          <w:tcPr>
            <w:tcW w:w="1440" w:type="dxa"/>
            <w:tcBorders>
              <w:bottom w:val="single" w:sz="4" w:space="0" w:color="auto"/>
            </w:tcBorders>
            <w:vAlign w:val="bottom"/>
          </w:tcPr>
          <w:p w14:paraId="231345A2"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c>
          <w:tcPr>
            <w:tcW w:w="1440" w:type="dxa"/>
            <w:tcBorders>
              <w:bottom w:val="single" w:sz="4" w:space="0" w:color="auto"/>
            </w:tcBorders>
            <w:vAlign w:val="bottom"/>
          </w:tcPr>
          <w:p w14:paraId="3563160B"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c>
          <w:tcPr>
            <w:tcW w:w="1440" w:type="dxa"/>
            <w:tcBorders>
              <w:bottom w:val="single" w:sz="4" w:space="0" w:color="auto"/>
            </w:tcBorders>
            <w:vAlign w:val="bottom"/>
          </w:tcPr>
          <w:p w14:paraId="355174B2"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c>
          <w:tcPr>
            <w:tcW w:w="1440" w:type="dxa"/>
            <w:tcBorders>
              <w:bottom w:val="single" w:sz="4" w:space="0" w:color="auto"/>
            </w:tcBorders>
            <w:vAlign w:val="bottom"/>
          </w:tcPr>
          <w:p w14:paraId="10F69C32"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r>
      <w:tr w:rsidR="0003043C" w:rsidRPr="00751136" w14:paraId="459AD48C" w14:textId="77777777" w:rsidTr="0003043C">
        <w:tc>
          <w:tcPr>
            <w:tcW w:w="2736" w:type="dxa"/>
            <w:vAlign w:val="bottom"/>
          </w:tcPr>
          <w:p w14:paraId="3817A80B" w14:textId="77777777" w:rsidR="0003043C" w:rsidRPr="00751136" w:rsidRDefault="0003043C" w:rsidP="0003043C">
            <w:pPr>
              <w:pStyle w:val="BodyTextIndent"/>
              <w:tabs>
                <w:tab w:val="right" w:pos="9360"/>
              </w:tabs>
              <w:ind w:left="-101"/>
              <w:jc w:val="left"/>
              <w:rPr>
                <w:color w:val="auto"/>
                <w:sz w:val="18"/>
                <w:szCs w:val="18"/>
              </w:rPr>
            </w:pPr>
            <w:r w:rsidRPr="00751136">
              <w:rPr>
                <w:rFonts w:eastAsia="Angsana New"/>
                <w:sz w:val="18"/>
                <w:szCs w:val="18"/>
                <w:u w:val="single"/>
                <w:lang w:val="en-GB"/>
              </w:rPr>
              <w:t>Financial assets and liabilities</w:t>
            </w:r>
          </w:p>
        </w:tc>
        <w:tc>
          <w:tcPr>
            <w:tcW w:w="1440" w:type="dxa"/>
            <w:tcBorders>
              <w:top w:val="single" w:sz="4" w:space="0" w:color="auto"/>
            </w:tcBorders>
            <w:vAlign w:val="bottom"/>
          </w:tcPr>
          <w:p w14:paraId="7E968163" w14:textId="77777777" w:rsidR="0003043C" w:rsidRPr="00751136" w:rsidRDefault="0003043C" w:rsidP="0003043C">
            <w:pPr>
              <w:pStyle w:val="BodyTextIndent"/>
              <w:tabs>
                <w:tab w:val="right" w:pos="9360"/>
              </w:tabs>
              <w:ind w:left="0" w:right="-72"/>
              <w:jc w:val="right"/>
              <w:rPr>
                <w:color w:val="auto"/>
                <w:sz w:val="18"/>
                <w:szCs w:val="18"/>
              </w:rPr>
            </w:pPr>
          </w:p>
        </w:tc>
        <w:tc>
          <w:tcPr>
            <w:tcW w:w="1440" w:type="dxa"/>
            <w:tcBorders>
              <w:top w:val="single" w:sz="4" w:space="0" w:color="auto"/>
            </w:tcBorders>
            <w:vAlign w:val="bottom"/>
          </w:tcPr>
          <w:p w14:paraId="6EEEB989" w14:textId="77777777" w:rsidR="0003043C" w:rsidRPr="00751136" w:rsidRDefault="0003043C" w:rsidP="0003043C">
            <w:pPr>
              <w:pStyle w:val="BodyTextIndent"/>
              <w:tabs>
                <w:tab w:val="right" w:pos="9360"/>
              </w:tabs>
              <w:ind w:left="0" w:right="-72"/>
              <w:jc w:val="right"/>
              <w:rPr>
                <w:color w:val="auto"/>
                <w:sz w:val="18"/>
                <w:szCs w:val="18"/>
              </w:rPr>
            </w:pPr>
          </w:p>
        </w:tc>
        <w:tc>
          <w:tcPr>
            <w:tcW w:w="1440" w:type="dxa"/>
            <w:tcBorders>
              <w:top w:val="single" w:sz="4" w:space="0" w:color="auto"/>
            </w:tcBorders>
            <w:vAlign w:val="bottom"/>
          </w:tcPr>
          <w:p w14:paraId="57509F4D" w14:textId="77777777" w:rsidR="0003043C" w:rsidRPr="00751136" w:rsidRDefault="0003043C" w:rsidP="0003043C">
            <w:pPr>
              <w:pStyle w:val="BodyTextIndent"/>
              <w:tabs>
                <w:tab w:val="right" w:pos="9360"/>
              </w:tabs>
              <w:ind w:left="0" w:right="-72"/>
              <w:jc w:val="right"/>
              <w:rPr>
                <w:color w:val="auto"/>
                <w:sz w:val="18"/>
                <w:szCs w:val="18"/>
              </w:rPr>
            </w:pPr>
          </w:p>
        </w:tc>
        <w:tc>
          <w:tcPr>
            <w:tcW w:w="1440" w:type="dxa"/>
            <w:tcBorders>
              <w:top w:val="single" w:sz="4" w:space="0" w:color="auto"/>
            </w:tcBorders>
            <w:vAlign w:val="bottom"/>
          </w:tcPr>
          <w:p w14:paraId="4AFC216B" w14:textId="77777777" w:rsidR="0003043C" w:rsidRPr="00751136" w:rsidRDefault="0003043C" w:rsidP="0003043C">
            <w:pPr>
              <w:pStyle w:val="BodyTextIndent"/>
              <w:tabs>
                <w:tab w:val="right" w:pos="9360"/>
              </w:tabs>
              <w:ind w:left="0" w:right="-72"/>
              <w:jc w:val="right"/>
              <w:rPr>
                <w:color w:val="auto"/>
                <w:sz w:val="18"/>
                <w:szCs w:val="18"/>
              </w:rPr>
            </w:pPr>
          </w:p>
        </w:tc>
      </w:tr>
      <w:tr w:rsidR="0003043C" w:rsidRPr="00751136" w14:paraId="6C30EA01" w14:textId="77777777" w:rsidTr="0003043C">
        <w:tc>
          <w:tcPr>
            <w:tcW w:w="2736" w:type="dxa"/>
            <w:vAlign w:val="bottom"/>
          </w:tcPr>
          <w:p w14:paraId="5FD8CE0F" w14:textId="77777777" w:rsidR="0003043C" w:rsidRPr="00751136" w:rsidRDefault="0003043C" w:rsidP="0003043C">
            <w:pPr>
              <w:pStyle w:val="BodyTextIndent"/>
              <w:tabs>
                <w:tab w:val="right" w:pos="9360"/>
              </w:tabs>
              <w:ind w:left="-101"/>
              <w:jc w:val="left"/>
              <w:rPr>
                <w:color w:val="auto"/>
                <w:sz w:val="18"/>
                <w:szCs w:val="18"/>
              </w:rPr>
            </w:pPr>
            <w:r w:rsidRPr="00751136">
              <w:rPr>
                <w:rFonts w:eastAsia="SimSun"/>
                <w:sz w:val="18"/>
                <w:szCs w:val="18"/>
              </w:rPr>
              <w:t>Deposits at bank</w:t>
            </w:r>
          </w:p>
        </w:tc>
        <w:tc>
          <w:tcPr>
            <w:tcW w:w="1440" w:type="dxa"/>
          </w:tcPr>
          <w:p w14:paraId="1B65EF11" w14:textId="1AA2A510"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196,946,911</w:t>
            </w:r>
          </w:p>
        </w:tc>
        <w:tc>
          <w:tcPr>
            <w:tcW w:w="1440" w:type="dxa"/>
          </w:tcPr>
          <w:p w14:paraId="30911BF2" w14:textId="45AC231C"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tcPr>
          <w:p w14:paraId="49E9D24E" w14:textId="5F4458EA"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16,505,594</w:t>
            </w:r>
          </w:p>
        </w:tc>
        <w:tc>
          <w:tcPr>
            <w:tcW w:w="1440" w:type="dxa"/>
          </w:tcPr>
          <w:p w14:paraId="2A35C770" w14:textId="058A4720"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213,452,505</w:t>
            </w:r>
          </w:p>
        </w:tc>
      </w:tr>
      <w:tr w:rsidR="0003043C" w:rsidRPr="00751136" w14:paraId="668C7A89" w14:textId="77777777" w:rsidTr="0003043C">
        <w:tc>
          <w:tcPr>
            <w:tcW w:w="2736" w:type="dxa"/>
            <w:vAlign w:val="bottom"/>
          </w:tcPr>
          <w:p w14:paraId="2B8E0BCB" w14:textId="77777777" w:rsidR="0003043C" w:rsidRPr="00751136" w:rsidRDefault="0003043C" w:rsidP="0003043C">
            <w:pPr>
              <w:pStyle w:val="BodyTextIndent"/>
              <w:tabs>
                <w:tab w:val="right" w:pos="9360"/>
              </w:tabs>
              <w:ind w:left="-101"/>
              <w:jc w:val="left"/>
              <w:rPr>
                <w:color w:val="auto"/>
                <w:sz w:val="18"/>
                <w:szCs w:val="18"/>
              </w:rPr>
            </w:pPr>
            <w:r w:rsidRPr="00751136">
              <w:rPr>
                <w:rFonts w:eastAsia="SimSun"/>
                <w:sz w:val="18"/>
                <w:szCs w:val="18"/>
              </w:rPr>
              <w:t>Bonds</w:t>
            </w:r>
          </w:p>
        </w:tc>
        <w:tc>
          <w:tcPr>
            <w:tcW w:w="1440" w:type="dxa"/>
          </w:tcPr>
          <w:p w14:paraId="03674616" w14:textId="700972B9"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tcPr>
          <w:p w14:paraId="2BF87D94" w14:textId="7EADF608"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728,563,719</w:t>
            </w:r>
          </w:p>
        </w:tc>
        <w:tc>
          <w:tcPr>
            <w:tcW w:w="1440" w:type="dxa"/>
          </w:tcPr>
          <w:p w14:paraId="76F66A75" w14:textId="79F151A3"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tcPr>
          <w:p w14:paraId="665F0695" w14:textId="5B8813DC"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728,563,719</w:t>
            </w:r>
          </w:p>
        </w:tc>
      </w:tr>
      <w:tr w:rsidR="0003043C" w:rsidRPr="00751136" w14:paraId="4B2BC27C" w14:textId="77777777" w:rsidTr="0003043C">
        <w:tc>
          <w:tcPr>
            <w:tcW w:w="2736" w:type="dxa"/>
            <w:vAlign w:val="bottom"/>
          </w:tcPr>
          <w:p w14:paraId="3645D600" w14:textId="77777777" w:rsidR="0003043C" w:rsidRPr="00751136" w:rsidRDefault="0003043C" w:rsidP="0003043C">
            <w:pPr>
              <w:pStyle w:val="BodyTextIndent"/>
              <w:tabs>
                <w:tab w:val="right" w:pos="9360"/>
              </w:tabs>
              <w:ind w:left="-101"/>
              <w:jc w:val="left"/>
              <w:rPr>
                <w:rFonts w:eastAsia="SimSun"/>
                <w:sz w:val="18"/>
                <w:szCs w:val="18"/>
              </w:rPr>
            </w:pPr>
            <w:r w:rsidRPr="00751136">
              <w:rPr>
                <w:rFonts w:eastAsia="SimSun"/>
                <w:sz w:val="18"/>
                <w:szCs w:val="18"/>
              </w:rPr>
              <w:t>Lease liabilities</w:t>
            </w:r>
          </w:p>
        </w:tc>
        <w:tc>
          <w:tcPr>
            <w:tcW w:w="1440" w:type="dxa"/>
          </w:tcPr>
          <w:p w14:paraId="302F9DFC" w14:textId="49C3F63A"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tcPr>
          <w:p w14:paraId="2DCC9A2D" w14:textId="44B9F2AC"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6,712,358,682</w:t>
            </w:r>
          </w:p>
        </w:tc>
        <w:tc>
          <w:tcPr>
            <w:tcW w:w="1440" w:type="dxa"/>
          </w:tcPr>
          <w:p w14:paraId="1D436AB8" w14:textId="7F0BE983"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tcPr>
          <w:p w14:paraId="3E61DB6D" w14:textId="2EA6FE60"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6,712,358,682</w:t>
            </w:r>
          </w:p>
        </w:tc>
      </w:tr>
    </w:tbl>
    <w:p w14:paraId="68D0D960" w14:textId="77777777" w:rsidR="0003043C" w:rsidRPr="00751136" w:rsidRDefault="0003043C" w:rsidP="0003043C">
      <w:pPr>
        <w:ind w:left="540"/>
        <w:jc w:val="both"/>
        <w:rPr>
          <w:sz w:val="18"/>
          <w:szCs w:val="18"/>
        </w:rPr>
      </w:pPr>
    </w:p>
    <w:tbl>
      <w:tblPr>
        <w:tblW w:w="8496" w:type="dxa"/>
        <w:tblInd w:w="648" w:type="dxa"/>
        <w:tblLook w:val="04A0" w:firstRow="1" w:lastRow="0" w:firstColumn="1" w:lastColumn="0" w:noHBand="0" w:noVBand="1"/>
      </w:tblPr>
      <w:tblGrid>
        <w:gridCol w:w="2736"/>
        <w:gridCol w:w="1440"/>
        <w:gridCol w:w="1440"/>
        <w:gridCol w:w="1440"/>
        <w:gridCol w:w="1440"/>
      </w:tblGrid>
      <w:tr w:rsidR="0003043C" w:rsidRPr="00751136" w14:paraId="04974611" w14:textId="77777777" w:rsidTr="0003043C">
        <w:tc>
          <w:tcPr>
            <w:tcW w:w="2736" w:type="dxa"/>
            <w:vAlign w:val="bottom"/>
          </w:tcPr>
          <w:p w14:paraId="2F3018E9" w14:textId="77777777" w:rsidR="0003043C" w:rsidRPr="00751136" w:rsidRDefault="0003043C" w:rsidP="0003043C">
            <w:pPr>
              <w:pStyle w:val="BodyTextIndent"/>
              <w:tabs>
                <w:tab w:val="right" w:pos="9360"/>
              </w:tabs>
              <w:ind w:left="-101"/>
              <w:jc w:val="left"/>
              <w:rPr>
                <w:color w:val="auto"/>
                <w:sz w:val="18"/>
                <w:szCs w:val="18"/>
              </w:rPr>
            </w:pPr>
          </w:p>
        </w:tc>
        <w:tc>
          <w:tcPr>
            <w:tcW w:w="5760" w:type="dxa"/>
            <w:gridSpan w:val="4"/>
            <w:tcBorders>
              <w:bottom w:val="single" w:sz="4" w:space="0" w:color="auto"/>
            </w:tcBorders>
            <w:vAlign w:val="bottom"/>
          </w:tcPr>
          <w:p w14:paraId="63385EBC" w14:textId="77777777" w:rsidR="0003043C" w:rsidRPr="00751136" w:rsidRDefault="0003043C" w:rsidP="0003043C">
            <w:pPr>
              <w:pStyle w:val="BodyTextIndent"/>
              <w:tabs>
                <w:tab w:val="right" w:pos="9360"/>
              </w:tabs>
              <w:ind w:left="0" w:right="-72"/>
              <w:jc w:val="center"/>
              <w:rPr>
                <w:b/>
                <w:bCs/>
                <w:color w:val="auto"/>
                <w:spacing w:val="-7"/>
                <w:sz w:val="18"/>
                <w:szCs w:val="18"/>
                <w:lang w:val="en-GB"/>
              </w:rPr>
            </w:pPr>
            <w:r w:rsidRPr="00751136">
              <w:rPr>
                <w:b/>
                <w:bCs/>
                <w:color w:val="auto"/>
                <w:spacing w:val="-7"/>
                <w:sz w:val="18"/>
                <w:szCs w:val="18"/>
                <w:lang w:val="en-GB"/>
              </w:rPr>
              <w:t>Outstanding balance of financial instruments as at 31 December 2024</w:t>
            </w:r>
          </w:p>
        </w:tc>
      </w:tr>
      <w:tr w:rsidR="0003043C" w:rsidRPr="00751136" w14:paraId="1EAD889B" w14:textId="77777777" w:rsidTr="0003043C">
        <w:tc>
          <w:tcPr>
            <w:tcW w:w="2736" w:type="dxa"/>
            <w:vAlign w:val="bottom"/>
          </w:tcPr>
          <w:p w14:paraId="3A679FA4" w14:textId="77777777" w:rsidR="0003043C" w:rsidRPr="00751136" w:rsidRDefault="0003043C" w:rsidP="0003043C">
            <w:pPr>
              <w:pStyle w:val="BodyTextIndent"/>
              <w:tabs>
                <w:tab w:val="right" w:pos="9360"/>
              </w:tabs>
              <w:ind w:left="-101"/>
              <w:jc w:val="left"/>
              <w:rPr>
                <w:color w:val="auto"/>
                <w:sz w:val="18"/>
                <w:szCs w:val="18"/>
              </w:rPr>
            </w:pPr>
          </w:p>
        </w:tc>
        <w:tc>
          <w:tcPr>
            <w:tcW w:w="1440" w:type="dxa"/>
            <w:tcBorders>
              <w:top w:val="single" w:sz="4" w:space="0" w:color="auto"/>
            </w:tcBorders>
            <w:vAlign w:val="bottom"/>
          </w:tcPr>
          <w:p w14:paraId="34642986"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Floating</w:t>
            </w:r>
          </w:p>
        </w:tc>
        <w:tc>
          <w:tcPr>
            <w:tcW w:w="1440" w:type="dxa"/>
            <w:tcBorders>
              <w:top w:val="single" w:sz="4" w:space="0" w:color="auto"/>
            </w:tcBorders>
            <w:vAlign w:val="bottom"/>
          </w:tcPr>
          <w:p w14:paraId="0199D672"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Fixed</w:t>
            </w:r>
          </w:p>
        </w:tc>
        <w:tc>
          <w:tcPr>
            <w:tcW w:w="1440" w:type="dxa"/>
            <w:tcBorders>
              <w:top w:val="single" w:sz="4" w:space="0" w:color="auto"/>
            </w:tcBorders>
            <w:vAlign w:val="bottom"/>
          </w:tcPr>
          <w:p w14:paraId="05C481F3"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Non-interest</w:t>
            </w:r>
          </w:p>
        </w:tc>
        <w:tc>
          <w:tcPr>
            <w:tcW w:w="1440" w:type="dxa"/>
            <w:tcBorders>
              <w:top w:val="single" w:sz="4" w:space="0" w:color="auto"/>
            </w:tcBorders>
            <w:vAlign w:val="bottom"/>
          </w:tcPr>
          <w:p w14:paraId="5EB9F309" w14:textId="77777777" w:rsidR="0003043C" w:rsidRPr="00751136" w:rsidRDefault="0003043C" w:rsidP="0003043C">
            <w:pPr>
              <w:pStyle w:val="BodyTextIndent"/>
              <w:tabs>
                <w:tab w:val="right" w:pos="9360"/>
              </w:tabs>
              <w:ind w:left="0" w:right="-72"/>
              <w:jc w:val="right"/>
              <w:rPr>
                <w:b/>
                <w:bCs/>
                <w:color w:val="auto"/>
                <w:sz w:val="18"/>
                <w:szCs w:val="18"/>
              </w:rPr>
            </w:pPr>
          </w:p>
        </w:tc>
      </w:tr>
      <w:tr w:rsidR="0003043C" w:rsidRPr="00751136" w14:paraId="125C0218" w14:textId="77777777" w:rsidTr="0003043C">
        <w:tc>
          <w:tcPr>
            <w:tcW w:w="2736" w:type="dxa"/>
            <w:vAlign w:val="bottom"/>
          </w:tcPr>
          <w:p w14:paraId="025E5EDB" w14:textId="77777777" w:rsidR="0003043C" w:rsidRPr="00751136" w:rsidRDefault="0003043C" w:rsidP="0003043C">
            <w:pPr>
              <w:pStyle w:val="BodyTextIndent"/>
              <w:tabs>
                <w:tab w:val="right" w:pos="9360"/>
              </w:tabs>
              <w:ind w:left="-101"/>
              <w:jc w:val="left"/>
              <w:rPr>
                <w:color w:val="auto"/>
                <w:sz w:val="18"/>
                <w:szCs w:val="18"/>
              </w:rPr>
            </w:pPr>
          </w:p>
        </w:tc>
        <w:tc>
          <w:tcPr>
            <w:tcW w:w="1440" w:type="dxa"/>
            <w:vAlign w:val="bottom"/>
          </w:tcPr>
          <w:p w14:paraId="7969A20A"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Interest rate</w:t>
            </w:r>
          </w:p>
        </w:tc>
        <w:tc>
          <w:tcPr>
            <w:tcW w:w="1440" w:type="dxa"/>
            <w:vAlign w:val="bottom"/>
          </w:tcPr>
          <w:p w14:paraId="647A5976"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Interest rate</w:t>
            </w:r>
          </w:p>
        </w:tc>
        <w:tc>
          <w:tcPr>
            <w:tcW w:w="1440" w:type="dxa"/>
            <w:vAlign w:val="bottom"/>
          </w:tcPr>
          <w:p w14:paraId="44C6F023"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bearing</w:t>
            </w:r>
          </w:p>
        </w:tc>
        <w:tc>
          <w:tcPr>
            <w:tcW w:w="1440" w:type="dxa"/>
            <w:vAlign w:val="bottom"/>
          </w:tcPr>
          <w:p w14:paraId="1EF75A9D"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Total</w:t>
            </w:r>
          </w:p>
        </w:tc>
      </w:tr>
      <w:tr w:rsidR="0003043C" w:rsidRPr="00751136" w14:paraId="65AB0DB9" w14:textId="77777777" w:rsidTr="0003043C">
        <w:tc>
          <w:tcPr>
            <w:tcW w:w="2736" w:type="dxa"/>
            <w:vAlign w:val="bottom"/>
          </w:tcPr>
          <w:p w14:paraId="6EC90A03" w14:textId="77777777" w:rsidR="0003043C" w:rsidRPr="00751136" w:rsidRDefault="0003043C" w:rsidP="0003043C">
            <w:pPr>
              <w:pStyle w:val="BodyTextIndent"/>
              <w:tabs>
                <w:tab w:val="right" w:pos="9360"/>
              </w:tabs>
              <w:ind w:left="-101"/>
              <w:jc w:val="left"/>
              <w:rPr>
                <w:color w:val="auto"/>
                <w:sz w:val="18"/>
                <w:szCs w:val="18"/>
              </w:rPr>
            </w:pPr>
          </w:p>
        </w:tc>
        <w:tc>
          <w:tcPr>
            <w:tcW w:w="1440" w:type="dxa"/>
            <w:tcBorders>
              <w:bottom w:val="single" w:sz="4" w:space="0" w:color="auto"/>
            </w:tcBorders>
            <w:vAlign w:val="bottom"/>
          </w:tcPr>
          <w:p w14:paraId="3192173E"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c>
          <w:tcPr>
            <w:tcW w:w="1440" w:type="dxa"/>
            <w:tcBorders>
              <w:bottom w:val="single" w:sz="4" w:space="0" w:color="auto"/>
            </w:tcBorders>
            <w:vAlign w:val="bottom"/>
          </w:tcPr>
          <w:p w14:paraId="4C926CA1"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c>
          <w:tcPr>
            <w:tcW w:w="1440" w:type="dxa"/>
            <w:tcBorders>
              <w:bottom w:val="single" w:sz="4" w:space="0" w:color="auto"/>
            </w:tcBorders>
            <w:vAlign w:val="bottom"/>
          </w:tcPr>
          <w:p w14:paraId="285E44CA"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c>
          <w:tcPr>
            <w:tcW w:w="1440" w:type="dxa"/>
            <w:tcBorders>
              <w:bottom w:val="single" w:sz="4" w:space="0" w:color="auto"/>
            </w:tcBorders>
            <w:vAlign w:val="bottom"/>
          </w:tcPr>
          <w:p w14:paraId="4381CD3A" w14:textId="77777777" w:rsidR="0003043C" w:rsidRPr="00751136" w:rsidRDefault="0003043C" w:rsidP="0003043C">
            <w:pPr>
              <w:pStyle w:val="BodyTextIndent"/>
              <w:tabs>
                <w:tab w:val="right" w:pos="9360"/>
              </w:tabs>
              <w:ind w:left="0" w:right="-72"/>
              <w:jc w:val="right"/>
              <w:rPr>
                <w:b/>
                <w:bCs/>
                <w:color w:val="auto"/>
                <w:sz w:val="18"/>
                <w:szCs w:val="18"/>
              </w:rPr>
            </w:pPr>
            <w:r w:rsidRPr="00751136">
              <w:rPr>
                <w:b/>
                <w:bCs/>
                <w:color w:val="auto"/>
                <w:sz w:val="18"/>
                <w:szCs w:val="18"/>
              </w:rPr>
              <w:t>Baht</w:t>
            </w:r>
          </w:p>
        </w:tc>
      </w:tr>
      <w:tr w:rsidR="0003043C" w:rsidRPr="00751136" w14:paraId="3C5F0E3C" w14:textId="77777777" w:rsidTr="0003043C">
        <w:tc>
          <w:tcPr>
            <w:tcW w:w="2736" w:type="dxa"/>
            <w:vAlign w:val="bottom"/>
          </w:tcPr>
          <w:p w14:paraId="6E3A625F" w14:textId="77777777" w:rsidR="0003043C" w:rsidRPr="00751136" w:rsidRDefault="0003043C" w:rsidP="0003043C">
            <w:pPr>
              <w:pStyle w:val="BodyTextIndent"/>
              <w:tabs>
                <w:tab w:val="right" w:pos="9360"/>
              </w:tabs>
              <w:ind w:left="-101"/>
              <w:jc w:val="left"/>
              <w:rPr>
                <w:color w:val="auto"/>
                <w:sz w:val="18"/>
                <w:szCs w:val="18"/>
              </w:rPr>
            </w:pPr>
            <w:r w:rsidRPr="00751136">
              <w:rPr>
                <w:rFonts w:eastAsia="Angsana New"/>
                <w:sz w:val="18"/>
                <w:szCs w:val="18"/>
                <w:u w:val="single"/>
                <w:lang w:val="en-GB"/>
              </w:rPr>
              <w:t>Financial assets and liabilities</w:t>
            </w:r>
          </w:p>
        </w:tc>
        <w:tc>
          <w:tcPr>
            <w:tcW w:w="1440" w:type="dxa"/>
            <w:tcBorders>
              <w:top w:val="single" w:sz="4" w:space="0" w:color="auto"/>
            </w:tcBorders>
            <w:vAlign w:val="bottom"/>
          </w:tcPr>
          <w:p w14:paraId="50DCD37E" w14:textId="77777777" w:rsidR="0003043C" w:rsidRPr="00751136" w:rsidRDefault="0003043C" w:rsidP="0003043C">
            <w:pPr>
              <w:pStyle w:val="BodyTextIndent"/>
              <w:tabs>
                <w:tab w:val="right" w:pos="9360"/>
              </w:tabs>
              <w:ind w:left="0" w:right="-72"/>
              <w:jc w:val="right"/>
              <w:rPr>
                <w:color w:val="auto"/>
                <w:sz w:val="18"/>
                <w:szCs w:val="18"/>
              </w:rPr>
            </w:pPr>
          </w:p>
        </w:tc>
        <w:tc>
          <w:tcPr>
            <w:tcW w:w="1440" w:type="dxa"/>
            <w:tcBorders>
              <w:top w:val="single" w:sz="4" w:space="0" w:color="auto"/>
            </w:tcBorders>
            <w:vAlign w:val="bottom"/>
          </w:tcPr>
          <w:p w14:paraId="42AA61B7" w14:textId="77777777" w:rsidR="0003043C" w:rsidRPr="00751136" w:rsidRDefault="0003043C" w:rsidP="0003043C">
            <w:pPr>
              <w:pStyle w:val="BodyTextIndent"/>
              <w:tabs>
                <w:tab w:val="right" w:pos="9360"/>
              </w:tabs>
              <w:ind w:left="0" w:right="-72"/>
              <w:jc w:val="right"/>
              <w:rPr>
                <w:color w:val="auto"/>
                <w:sz w:val="18"/>
                <w:szCs w:val="18"/>
              </w:rPr>
            </w:pPr>
          </w:p>
        </w:tc>
        <w:tc>
          <w:tcPr>
            <w:tcW w:w="1440" w:type="dxa"/>
            <w:tcBorders>
              <w:top w:val="single" w:sz="4" w:space="0" w:color="auto"/>
            </w:tcBorders>
            <w:vAlign w:val="bottom"/>
          </w:tcPr>
          <w:p w14:paraId="1D737443" w14:textId="77777777" w:rsidR="0003043C" w:rsidRPr="00751136" w:rsidRDefault="0003043C" w:rsidP="0003043C">
            <w:pPr>
              <w:pStyle w:val="BodyTextIndent"/>
              <w:tabs>
                <w:tab w:val="right" w:pos="9360"/>
              </w:tabs>
              <w:ind w:left="0" w:right="-72"/>
              <w:jc w:val="right"/>
              <w:rPr>
                <w:color w:val="auto"/>
                <w:sz w:val="18"/>
                <w:szCs w:val="18"/>
              </w:rPr>
            </w:pPr>
          </w:p>
        </w:tc>
        <w:tc>
          <w:tcPr>
            <w:tcW w:w="1440" w:type="dxa"/>
            <w:tcBorders>
              <w:top w:val="single" w:sz="4" w:space="0" w:color="auto"/>
            </w:tcBorders>
            <w:vAlign w:val="bottom"/>
          </w:tcPr>
          <w:p w14:paraId="713FEC74" w14:textId="77777777" w:rsidR="0003043C" w:rsidRPr="00751136" w:rsidRDefault="0003043C" w:rsidP="0003043C">
            <w:pPr>
              <w:pStyle w:val="BodyTextIndent"/>
              <w:tabs>
                <w:tab w:val="right" w:pos="9360"/>
              </w:tabs>
              <w:ind w:left="0" w:right="-72"/>
              <w:jc w:val="right"/>
              <w:rPr>
                <w:color w:val="auto"/>
                <w:sz w:val="18"/>
                <w:szCs w:val="18"/>
              </w:rPr>
            </w:pPr>
          </w:p>
        </w:tc>
      </w:tr>
      <w:tr w:rsidR="0003043C" w:rsidRPr="00751136" w14:paraId="5F0F1DA1" w14:textId="77777777" w:rsidTr="0003043C">
        <w:tc>
          <w:tcPr>
            <w:tcW w:w="2736" w:type="dxa"/>
            <w:vAlign w:val="bottom"/>
          </w:tcPr>
          <w:p w14:paraId="25B1E373" w14:textId="77777777" w:rsidR="0003043C" w:rsidRPr="00751136" w:rsidRDefault="0003043C" w:rsidP="0003043C">
            <w:pPr>
              <w:pStyle w:val="BodyTextIndent"/>
              <w:tabs>
                <w:tab w:val="right" w:pos="9360"/>
              </w:tabs>
              <w:ind w:left="-101"/>
              <w:jc w:val="left"/>
              <w:rPr>
                <w:color w:val="auto"/>
                <w:sz w:val="18"/>
                <w:szCs w:val="18"/>
              </w:rPr>
            </w:pPr>
            <w:r w:rsidRPr="00751136">
              <w:rPr>
                <w:rFonts w:eastAsia="SimSun"/>
                <w:sz w:val="18"/>
                <w:szCs w:val="18"/>
              </w:rPr>
              <w:t>Deposits at bank</w:t>
            </w:r>
          </w:p>
        </w:tc>
        <w:tc>
          <w:tcPr>
            <w:tcW w:w="1440" w:type="dxa"/>
            <w:vAlign w:val="bottom"/>
          </w:tcPr>
          <w:p w14:paraId="346F697A"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149,145,326</w:t>
            </w:r>
          </w:p>
        </w:tc>
        <w:tc>
          <w:tcPr>
            <w:tcW w:w="1440" w:type="dxa"/>
            <w:vAlign w:val="bottom"/>
          </w:tcPr>
          <w:p w14:paraId="312E37BA"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257,984,309</w:t>
            </w:r>
          </w:p>
        </w:tc>
        <w:tc>
          <w:tcPr>
            <w:tcW w:w="1440" w:type="dxa"/>
            <w:vAlign w:val="bottom"/>
          </w:tcPr>
          <w:p w14:paraId="551C9C35"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2,411,785</w:t>
            </w:r>
          </w:p>
        </w:tc>
        <w:tc>
          <w:tcPr>
            <w:tcW w:w="1440" w:type="dxa"/>
            <w:vAlign w:val="bottom"/>
          </w:tcPr>
          <w:p w14:paraId="45A17B97"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409,541,420</w:t>
            </w:r>
          </w:p>
        </w:tc>
      </w:tr>
      <w:tr w:rsidR="0003043C" w:rsidRPr="00751136" w14:paraId="5F9BE1C2" w14:textId="77777777" w:rsidTr="0003043C">
        <w:tc>
          <w:tcPr>
            <w:tcW w:w="2736" w:type="dxa"/>
            <w:vAlign w:val="bottom"/>
          </w:tcPr>
          <w:p w14:paraId="61F09828" w14:textId="77777777" w:rsidR="0003043C" w:rsidRPr="00751136" w:rsidRDefault="0003043C" w:rsidP="0003043C">
            <w:pPr>
              <w:pStyle w:val="BodyTextIndent"/>
              <w:tabs>
                <w:tab w:val="right" w:pos="9360"/>
              </w:tabs>
              <w:ind w:left="-101"/>
              <w:jc w:val="left"/>
              <w:rPr>
                <w:rFonts w:eastAsia="SimSun"/>
                <w:sz w:val="18"/>
                <w:szCs w:val="18"/>
                <w:lang w:val="en-GB"/>
              </w:rPr>
            </w:pPr>
            <w:r w:rsidRPr="00751136">
              <w:rPr>
                <w:rFonts w:eastAsia="SimSun"/>
                <w:sz w:val="18"/>
                <w:szCs w:val="18"/>
                <w:lang w:val="en-GB"/>
              </w:rPr>
              <w:t>Treasury bill</w:t>
            </w:r>
          </w:p>
        </w:tc>
        <w:tc>
          <w:tcPr>
            <w:tcW w:w="1440" w:type="dxa"/>
            <w:vAlign w:val="bottom"/>
          </w:tcPr>
          <w:p w14:paraId="660A1B3C"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vAlign w:val="bottom"/>
          </w:tcPr>
          <w:p w14:paraId="2CC3AB6F"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192,124,003</w:t>
            </w:r>
          </w:p>
        </w:tc>
        <w:tc>
          <w:tcPr>
            <w:tcW w:w="1440" w:type="dxa"/>
            <w:vAlign w:val="bottom"/>
          </w:tcPr>
          <w:p w14:paraId="6994849C"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vAlign w:val="bottom"/>
          </w:tcPr>
          <w:p w14:paraId="01B032DC"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192,124,003</w:t>
            </w:r>
          </w:p>
        </w:tc>
      </w:tr>
      <w:tr w:rsidR="0003043C" w:rsidRPr="00751136" w14:paraId="0FFA2F2E" w14:textId="77777777" w:rsidTr="0003043C">
        <w:tc>
          <w:tcPr>
            <w:tcW w:w="2736" w:type="dxa"/>
            <w:vAlign w:val="bottom"/>
          </w:tcPr>
          <w:p w14:paraId="7A30C663" w14:textId="77777777" w:rsidR="0003043C" w:rsidRPr="00751136" w:rsidRDefault="0003043C" w:rsidP="0003043C">
            <w:pPr>
              <w:pStyle w:val="BodyTextIndent"/>
              <w:tabs>
                <w:tab w:val="right" w:pos="9360"/>
              </w:tabs>
              <w:ind w:left="-101"/>
              <w:jc w:val="left"/>
              <w:rPr>
                <w:color w:val="auto"/>
                <w:sz w:val="18"/>
                <w:szCs w:val="18"/>
              </w:rPr>
            </w:pPr>
            <w:r w:rsidRPr="00751136">
              <w:rPr>
                <w:rFonts w:eastAsia="SimSun"/>
                <w:sz w:val="18"/>
                <w:szCs w:val="18"/>
              </w:rPr>
              <w:t>Bonds</w:t>
            </w:r>
          </w:p>
        </w:tc>
        <w:tc>
          <w:tcPr>
            <w:tcW w:w="1440" w:type="dxa"/>
            <w:vAlign w:val="bottom"/>
          </w:tcPr>
          <w:p w14:paraId="3C37BEEC"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vAlign w:val="bottom"/>
          </w:tcPr>
          <w:p w14:paraId="41A4406C"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217,171,671</w:t>
            </w:r>
          </w:p>
        </w:tc>
        <w:tc>
          <w:tcPr>
            <w:tcW w:w="1440" w:type="dxa"/>
            <w:vAlign w:val="bottom"/>
          </w:tcPr>
          <w:p w14:paraId="55483D29"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w:t>
            </w:r>
          </w:p>
        </w:tc>
        <w:tc>
          <w:tcPr>
            <w:tcW w:w="1440" w:type="dxa"/>
            <w:vAlign w:val="bottom"/>
          </w:tcPr>
          <w:p w14:paraId="4F5F2423" w14:textId="77777777" w:rsidR="0003043C" w:rsidRPr="00751136" w:rsidRDefault="0003043C" w:rsidP="0003043C">
            <w:pPr>
              <w:pStyle w:val="BodyTextIndent"/>
              <w:tabs>
                <w:tab w:val="right" w:pos="9360"/>
              </w:tabs>
              <w:ind w:left="0" w:right="-72"/>
              <w:jc w:val="right"/>
              <w:rPr>
                <w:color w:val="auto"/>
                <w:sz w:val="18"/>
                <w:szCs w:val="18"/>
              </w:rPr>
            </w:pPr>
            <w:r w:rsidRPr="00751136">
              <w:rPr>
                <w:color w:val="auto"/>
                <w:sz w:val="18"/>
                <w:szCs w:val="18"/>
              </w:rPr>
              <w:t>217,171,671</w:t>
            </w:r>
          </w:p>
        </w:tc>
      </w:tr>
      <w:tr w:rsidR="0003043C" w:rsidRPr="00751136" w14:paraId="2116C743" w14:textId="77777777" w:rsidTr="0003043C">
        <w:tc>
          <w:tcPr>
            <w:tcW w:w="2736" w:type="dxa"/>
            <w:vAlign w:val="bottom"/>
          </w:tcPr>
          <w:p w14:paraId="0BF0B0BC" w14:textId="77777777" w:rsidR="0003043C" w:rsidRPr="00751136" w:rsidRDefault="0003043C" w:rsidP="0003043C">
            <w:pPr>
              <w:pStyle w:val="BodyTextIndent"/>
              <w:tabs>
                <w:tab w:val="right" w:pos="9360"/>
              </w:tabs>
              <w:ind w:left="-101"/>
              <w:jc w:val="left"/>
              <w:rPr>
                <w:rFonts w:eastAsia="SimSun"/>
                <w:sz w:val="18"/>
                <w:szCs w:val="18"/>
              </w:rPr>
            </w:pPr>
            <w:r w:rsidRPr="00751136">
              <w:rPr>
                <w:rFonts w:eastAsia="SimSun"/>
                <w:sz w:val="18"/>
                <w:szCs w:val="18"/>
              </w:rPr>
              <w:t>Lease liabilities</w:t>
            </w:r>
          </w:p>
        </w:tc>
        <w:tc>
          <w:tcPr>
            <w:tcW w:w="1440" w:type="dxa"/>
            <w:vAlign w:val="bottom"/>
          </w:tcPr>
          <w:p w14:paraId="2BB8D88A" w14:textId="77777777" w:rsidR="0003043C" w:rsidRPr="00751136" w:rsidRDefault="0003043C" w:rsidP="0003043C">
            <w:pPr>
              <w:pStyle w:val="BodyTextIndent"/>
              <w:tabs>
                <w:tab w:val="right" w:pos="9360"/>
              </w:tabs>
              <w:ind w:left="0" w:right="-72"/>
              <w:jc w:val="right"/>
              <w:rPr>
                <w:rFonts w:eastAsia="Angsana New"/>
                <w:sz w:val="18"/>
                <w:szCs w:val="18"/>
                <w:lang w:val="en-GB"/>
              </w:rPr>
            </w:pPr>
            <w:r w:rsidRPr="00751136">
              <w:rPr>
                <w:rFonts w:eastAsia="Angsana New"/>
                <w:sz w:val="18"/>
                <w:szCs w:val="18"/>
                <w:lang w:val="en-GB"/>
              </w:rPr>
              <w:t>-</w:t>
            </w:r>
          </w:p>
        </w:tc>
        <w:tc>
          <w:tcPr>
            <w:tcW w:w="1440" w:type="dxa"/>
            <w:vAlign w:val="bottom"/>
          </w:tcPr>
          <w:p w14:paraId="6D580178" w14:textId="77777777" w:rsidR="0003043C" w:rsidRPr="00751136" w:rsidRDefault="0003043C" w:rsidP="0003043C">
            <w:pPr>
              <w:pStyle w:val="BodyTextIndent"/>
              <w:tabs>
                <w:tab w:val="right" w:pos="9360"/>
              </w:tabs>
              <w:ind w:left="0" w:right="-72"/>
              <w:jc w:val="right"/>
              <w:rPr>
                <w:rFonts w:eastAsia="Angsana New"/>
                <w:sz w:val="18"/>
                <w:szCs w:val="18"/>
                <w:lang w:val="en-GB"/>
              </w:rPr>
            </w:pPr>
            <w:r w:rsidRPr="00751136">
              <w:rPr>
                <w:rFonts w:eastAsia="Angsana New"/>
                <w:sz w:val="18"/>
                <w:szCs w:val="18"/>
                <w:lang w:val="en-GB"/>
              </w:rPr>
              <w:t>6,344,466,407</w:t>
            </w:r>
          </w:p>
        </w:tc>
        <w:tc>
          <w:tcPr>
            <w:tcW w:w="1440" w:type="dxa"/>
            <w:vAlign w:val="bottom"/>
          </w:tcPr>
          <w:p w14:paraId="643D428A" w14:textId="77777777" w:rsidR="0003043C" w:rsidRPr="00751136" w:rsidRDefault="0003043C" w:rsidP="0003043C">
            <w:pPr>
              <w:pStyle w:val="BodyTextIndent"/>
              <w:tabs>
                <w:tab w:val="right" w:pos="9360"/>
              </w:tabs>
              <w:ind w:left="0" w:right="-72"/>
              <w:jc w:val="right"/>
              <w:rPr>
                <w:rFonts w:eastAsia="Angsana New"/>
                <w:sz w:val="18"/>
                <w:szCs w:val="18"/>
                <w:lang w:val="en-GB"/>
              </w:rPr>
            </w:pPr>
            <w:r w:rsidRPr="00751136">
              <w:rPr>
                <w:rFonts w:eastAsia="Angsana New"/>
                <w:sz w:val="18"/>
                <w:szCs w:val="18"/>
                <w:lang w:val="en-GB"/>
              </w:rPr>
              <w:t>-</w:t>
            </w:r>
          </w:p>
        </w:tc>
        <w:tc>
          <w:tcPr>
            <w:tcW w:w="1440" w:type="dxa"/>
            <w:vAlign w:val="bottom"/>
          </w:tcPr>
          <w:p w14:paraId="1D2EA258" w14:textId="77777777" w:rsidR="0003043C" w:rsidRPr="00751136" w:rsidRDefault="0003043C" w:rsidP="0003043C">
            <w:pPr>
              <w:pStyle w:val="BodyTextIndent"/>
              <w:tabs>
                <w:tab w:val="right" w:pos="9360"/>
              </w:tabs>
              <w:ind w:left="0" w:right="-72"/>
              <w:jc w:val="right"/>
              <w:rPr>
                <w:rFonts w:eastAsia="Angsana New"/>
                <w:sz w:val="18"/>
                <w:szCs w:val="18"/>
                <w:lang w:val="en-GB"/>
              </w:rPr>
            </w:pPr>
            <w:r w:rsidRPr="00751136">
              <w:rPr>
                <w:rFonts w:eastAsia="Angsana New"/>
                <w:sz w:val="18"/>
                <w:szCs w:val="18"/>
                <w:lang w:val="en-GB"/>
              </w:rPr>
              <w:t>6,344,466,407</w:t>
            </w:r>
          </w:p>
        </w:tc>
      </w:tr>
    </w:tbl>
    <w:p w14:paraId="61205CB2" w14:textId="77777777" w:rsidR="0003043C" w:rsidRPr="00751136" w:rsidRDefault="0003043C" w:rsidP="0003043C">
      <w:pPr>
        <w:ind w:left="540"/>
        <w:jc w:val="both"/>
        <w:rPr>
          <w:sz w:val="18"/>
          <w:szCs w:val="18"/>
        </w:rPr>
      </w:pPr>
    </w:p>
    <w:p w14:paraId="1AC01C8E" w14:textId="7C9319A0" w:rsidR="00666CA5" w:rsidRPr="00751136" w:rsidRDefault="002324FE" w:rsidP="0003043C">
      <w:pPr>
        <w:tabs>
          <w:tab w:val="left" w:pos="558"/>
        </w:tabs>
        <w:rPr>
          <w:b/>
          <w:bCs/>
          <w:color w:val="auto"/>
          <w:lang w:val="en-GB"/>
        </w:rPr>
      </w:pPr>
      <w:r w:rsidRPr="00751136">
        <w:rPr>
          <w:b/>
          <w:bCs/>
          <w:color w:val="auto"/>
          <w:lang w:val="en-GB"/>
        </w:rPr>
        <w:t>4</w:t>
      </w:r>
      <w:r w:rsidR="00666CA5" w:rsidRPr="00751136">
        <w:rPr>
          <w:b/>
          <w:bCs/>
          <w:color w:val="auto"/>
          <w:lang w:val="en-GB"/>
        </w:rPr>
        <w:t>.</w:t>
      </w:r>
      <w:r w:rsidR="001659E8" w:rsidRPr="00751136">
        <w:rPr>
          <w:b/>
          <w:bCs/>
          <w:color w:val="auto"/>
          <w:lang w:val="en-GB"/>
        </w:rPr>
        <w:t>2</w:t>
      </w:r>
      <w:r w:rsidR="00666CA5" w:rsidRPr="00751136">
        <w:rPr>
          <w:b/>
          <w:bCs/>
          <w:color w:val="auto"/>
          <w:lang w:val="en-GB"/>
        </w:rPr>
        <w:tab/>
        <w:t>Credit risk</w:t>
      </w:r>
    </w:p>
    <w:p w14:paraId="571438BE" w14:textId="77777777" w:rsidR="00666CA5" w:rsidRPr="00751136" w:rsidRDefault="00666CA5" w:rsidP="0003043C">
      <w:pPr>
        <w:ind w:left="540"/>
        <w:jc w:val="both"/>
        <w:rPr>
          <w:sz w:val="18"/>
          <w:szCs w:val="18"/>
        </w:rPr>
      </w:pPr>
    </w:p>
    <w:p w14:paraId="3DD1C3F7" w14:textId="68A52303" w:rsidR="00666CA5" w:rsidRPr="00751136" w:rsidRDefault="00666CA5" w:rsidP="0003043C">
      <w:pPr>
        <w:pStyle w:val="BodyTextIndent"/>
        <w:tabs>
          <w:tab w:val="right" w:pos="9360"/>
        </w:tabs>
        <w:ind w:left="547"/>
        <w:rPr>
          <w:color w:val="auto"/>
          <w:spacing w:val="-6"/>
          <w:szCs w:val="20"/>
        </w:rPr>
      </w:pPr>
      <w:r w:rsidRPr="00751136">
        <w:rPr>
          <w:color w:val="auto"/>
          <w:spacing w:val="-2"/>
          <w:szCs w:val="20"/>
        </w:rPr>
        <w:t xml:space="preserve">Credit risk is the risk that counterparties might not discharge their obligation causing the </w:t>
      </w:r>
      <w:r w:rsidR="00617091" w:rsidRPr="00751136">
        <w:rPr>
          <w:color w:val="auto"/>
          <w:spacing w:val="-2"/>
          <w:szCs w:val="20"/>
        </w:rPr>
        <w:t>Trust</w:t>
      </w:r>
      <w:r w:rsidRPr="00751136">
        <w:rPr>
          <w:color w:val="auto"/>
          <w:spacing w:val="-2"/>
          <w:szCs w:val="20"/>
        </w:rPr>
        <w:t xml:space="preserve"> to</w:t>
      </w:r>
      <w:r w:rsidRPr="00751136">
        <w:rPr>
          <w:color w:val="auto"/>
          <w:szCs w:val="20"/>
        </w:rPr>
        <w:t xml:space="preserve"> </w:t>
      </w:r>
      <w:r w:rsidRPr="00751136">
        <w:rPr>
          <w:color w:val="auto"/>
          <w:spacing w:val="-6"/>
          <w:szCs w:val="20"/>
        </w:rPr>
        <w:t xml:space="preserve">incur a financial loss. Credit risk arises from risk in the collectability of lease rental from counterparties.  </w:t>
      </w:r>
    </w:p>
    <w:p w14:paraId="3357A6A2" w14:textId="77777777" w:rsidR="00666CA5" w:rsidRPr="00751136" w:rsidRDefault="00666CA5" w:rsidP="0003043C">
      <w:pPr>
        <w:ind w:left="540"/>
        <w:jc w:val="both"/>
        <w:rPr>
          <w:sz w:val="18"/>
          <w:szCs w:val="18"/>
        </w:rPr>
      </w:pPr>
    </w:p>
    <w:p w14:paraId="44A06EC4" w14:textId="294E021F" w:rsidR="009F10C8" w:rsidRPr="00751136" w:rsidRDefault="00666CA5" w:rsidP="0003043C">
      <w:pPr>
        <w:pStyle w:val="BodyTextIndent"/>
        <w:tabs>
          <w:tab w:val="right" w:pos="9360"/>
        </w:tabs>
        <w:ind w:left="547"/>
        <w:rPr>
          <w:color w:val="auto"/>
          <w:szCs w:val="20"/>
        </w:rPr>
      </w:pPr>
      <w:r w:rsidRPr="00751136">
        <w:rPr>
          <w:color w:val="auto"/>
          <w:szCs w:val="20"/>
        </w:rPr>
        <w:t xml:space="preserve">The </w:t>
      </w:r>
      <w:r w:rsidR="00617091" w:rsidRPr="00751136">
        <w:rPr>
          <w:color w:val="auto"/>
          <w:szCs w:val="20"/>
        </w:rPr>
        <w:t>Trust</w:t>
      </w:r>
      <w:r w:rsidRPr="00751136">
        <w:rPr>
          <w:color w:val="auto"/>
          <w:szCs w:val="20"/>
        </w:rPr>
        <w:t xml:space="preserve"> has no significant concentrations of credit risk due to the </w:t>
      </w:r>
      <w:r w:rsidR="00617091" w:rsidRPr="00751136">
        <w:rPr>
          <w:color w:val="auto"/>
          <w:szCs w:val="20"/>
        </w:rPr>
        <w:t>Trust</w:t>
      </w:r>
      <w:r w:rsidRPr="00751136">
        <w:rPr>
          <w:color w:val="auto"/>
          <w:szCs w:val="20"/>
        </w:rPr>
        <w:t xml:space="preserve"> has a large</w:t>
      </w:r>
      <w:r w:rsidR="00DE2884" w:rsidRPr="00751136">
        <w:rPr>
          <w:color w:val="auto"/>
          <w:szCs w:val="20"/>
        </w:rPr>
        <w:t xml:space="preserve"> </w:t>
      </w:r>
      <w:r w:rsidRPr="00751136">
        <w:rPr>
          <w:color w:val="auto"/>
          <w:szCs w:val="20"/>
        </w:rPr>
        <w:t xml:space="preserve">number of tenants in various businesses. Additionally, the </w:t>
      </w:r>
      <w:r w:rsidR="00617091" w:rsidRPr="00751136">
        <w:rPr>
          <w:color w:val="auto"/>
          <w:szCs w:val="20"/>
        </w:rPr>
        <w:t>Trust</w:t>
      </w:r>
      <w:r w:rsidRPr="00751136">
        <w:rPr>
          <w:color w:val="auto"/>
          <w:szCs w:val="20"/>
        </w:rPr>
        <w:t xml:space="preserve"> has a policy to collect in advance rental deposits from customers as a collateral in case of default. </w:t>
      </w:r>
      <w:r w:rsidR="000C1DE1" w:rsidRPr="00751136">
        <w:rPr>
          <w:color w:val="auto"/>
          <w:szCs w:val="20"/>
        </w:rPr>
        <w:t>The REIT Manager</w:t>
      </w:r>
      <w:r w:rsidRPr="00751136">
        <w:rPr>
          <w:color w:val="auto"/>
          <w:szCs w:val="20"/>
        </w:rPr>
        <w:t xml:space="preserve"> is of opinion that the </w:t>
      </w:r>
      <w:r w:rsidR="00617091" w:rsidRPr="00751136">
        <w:rPr>
          <w:color w:val="auto"/>
          <w:szCs w:val="20"/>
        </w:rPr>
        <w:t>Trust</w:t>
      </w:r>
      <w:r w:rsidRPr="00751136">
        <w:rPr>
          <w:color w:val="auto"/>
          <w:szCs w:val="20"/>
        </w:rPr>
        <w:t xml:space="preserve"> does not have credit risk other than that provided in the allowance for </w:t>
      </w:r>
      <w:r w:rsidR="00FA4AC3" w:rsidRPr="00751136">
        <w:rPr>
          <w:color w:val="auto"/>
          <w:szCs w:val="20"/>
        </w:rPr>
        <w:t xml:space="preserve">expected credit loss </w:t>
      </w:r>
      <w:r w:rsidRPr="00751136">
        <w:rPr>
          <w:color w:val="auto"/>
          <w:szCs w:val="20"/>
        </w:rPr>
        <w:t xml:space="preserve">as presented in the financial statements. The estimate for allowance for </w:t>
      </w:r>
      <w:r w:rsidR="00FA4AC3" w:rsidRPr="00751136">
        <w:rPr>
          <w:color w:val="auto"/>
          <w:szCs w:val="20"/>
        </w:rPr>
        <w:t xml:space="preserve">expected credit loss </w:t>
      </w:r>
      <w:r w:rsidRPr="00751136">
        <w:rPr>
          <w:color w:val="auto"/>
          <w:szCs w:val="20"/>
        </w:rPr>
        <w:t>encompasses consideration of past collection experiences, customers’ deposits and other factors such as the local economic conditions.</w:t>
      </w:r>
    </w:p>
    <w:p w14:paraId="69EB0DE8" w14:textId="77777777" w:rsidR="00846D43" w:rsidRPr="00751136" w:rsidRDefault="00846D43" w:rsidP="0003043C">
      <w:pPr>
        <w:ind w:left="540"/>
        <w:jc w:val="both"/>
        <w:rPr>
          <w:sz w:val="18"/>
          <w:szCs w:val="18"/>
        </w:rPr>
      </w:pPr>
    </w:p>
    <w:p w14:paraId="73581FE9" w14:textId="03563DAB" w:rsidR="0063341C" w:rsidRPr="00751136" w:rsidRDefault="002324FE" w:rsidP="0003043C">
      <w:pPr>
        <w:pStyle w:val="ListParagraph"/>
        <w:tabs>
          <w:tab w:val="left" w:pos="540"/>
        </w:tabs>
        <w:ind w:left="540" w:hanging="540"/>
        <w:jc w:val="both"/>
        <w:rPr>
          <w:b/>
          <w:bCs/>
          <w:color w:val="auto"/>
          <w:lang w:val="en-GB"/>
        </w:rPr>
      </w:pPr>
      <w:r w:rsidRPr="00751136">
        <w:rPr>
          <w:b/>
          <w:bCs/>
          <w:color w:val="auto"/>
          <w:lang w:val="en-GB"/>
        </w:rPr>
        <w:t>4.</w:t>
      </w:r>
      <w:r w:rsidR="001659E8" w:rsidRPr="00751136">
        <w:rPr>
          <w:b/>
          <w:bCs/>
          <w:color w:val="auto"/>
          <w:lang w:val="en-GB"/>
        </w:rPr>
        <w:t>3</w:t>
      </w:r>
      <w:r w:rsidR="00903C68" w:rsidRPr="00751136">
        <w:rPr>
          <w:b/>
          <w:bCs/>
          <w:color w:val="auto"/>
          <w:lang w:val="en-GB"/>
        </w:rPr>
        <w:tab/>
        <w:t>Risk management</w:t>
      </w:r>
    </w:p>
    <w:p w14:paraId="00CC836E" w14:textId="77777777" w:rsidR="00854E17" w:rsidRPr="00751136" w:rsidRDefault="00854E17" w:rsidP="0003043C">
      <w:pPr>
        <w:ind w:left="540"/>
        <w:jc w:val="both"/>
        <w:rPr>
          <w:sz w:val="18"/>
          <w:szCs w:val="18"/>
        </w:rPr>
      </w:pPr>
    </w:p>
    <w:p w14:paraId="6A6AFCEF" w14:textId="5917CAD0" w:rsidR="00903C68" w:rsidRPr="00751136" w:rsidRDefault="0007681C" w:rsidP="0003043C">
      <w:pPr>
        <w:pStyle w:val="BodyTextIndent"/>
        <w:tabs>
          <w:tab w:val="right" w:pos="9360"/>
        </w:tabs>
        <w:ind w:left="547"/>
        <w:rPr>
          <w:color w:val="auto"/>
          <w:spacing w:val="-2"/>
          <w:szCs w:val="20"/>
        </w:rPr>
      </w:pPr>
      <w:r w:rsidRPr="00751136">
        <w:rPr>
          <w:color w:val="auto"/>
          <w:spacing w:val="-4"/>
          <w:szCs w:val="20"/>
        </w:rPr>
        <w:t>To manage risk arising from investments</w:t>
      </w:r>
      <w:r w:rsidRPr="00751136">
        <w:rPr>
          <w:spacing w:val="-4"/>
          <w:szCs w:val="20"/>
        </w:rPr>
        <w:t>, t</w:t>
      </w:r>
      <w:r w:rsidRPr="00751136">
        <w:rPr>
          <w:color w:val="auto"/>
          <w:spacing w:val="-4"/>
          <w:szCs w:val="20"/>
        </w:rPr>
        <w:t xml:space="preserve">he </w:t>
      </w:r>
      <w:r w:rsidR="00617091" w:rsidRPr="00751136">
        <w:rPr>
          <w:color w:val="auto"/>
          <w:spacing w:val="-4"/>
          <w:szCs w:val="20"/>
        </w:rPr>
        <w:t>Trust</w:t>
      </w:r>
      <w:r w:rsidRPr="00751136">
        <w:rPr>
          <w:color w:val="auto"/>
          <w:spacing w:val="-4"/>
          <w:szCs w:val="20"/>
        </w:rPr>
        <w:t xml:space="preserve"> has risk management policy </w:t>
      </w:r>
      <w:r w:rsidR="00872604" w:rsidRPr="00751136">
        <w:rPr>
          <w:color w:val="auto"/>
          <w:spacing w:val="-4"/>
          <w:szCs w:val="20"/>
        </w:rPr>
        <w:t xml:space="preserve">such as </w:t>
      </w:r>
      <w:r w:rsidRPr="00751136">
        <w:rPr>
          <w:color w:val="auto"/>
          <w:spacing w:val="-4"/>
          <w:szCs w:val="20"/>
        </w:rPr>
        <w:t>portfolio</w:t>
      </w:r>
      <w:r w:rsidRPr="00751136">
        <w:rPr>
          <w:color w:val="auto"/>
          <w:spacing w:val="-2"/>
          <w:szCs w:val="20"/>
        </w:rPr>
        <w:t xml:space="preserve"> </w:t>
      </w:r>
      <w:r w:rsidR="00AF7B92" w:rsidRPr="00751136">
        <w:rPr>
          <w:color w:val="auto"/>
          <w:spacing w:val="-2"/>
          <w:szCs w:val="20"/>
        </w:rPr>
        <w:t xml:space="preserve">diversification </w:t>
      </w:r>
      <w:r w:rsidR="00872604" w:rsidRPr="00751136">
        <w:rPr>
          <w:color w:val="auto"/>
          <w:spacing w:val="-2"/>
          <w:szCs w:val="20"/>
        </w:rPr>
        <w:t>and</w:t>
      </w:r>
      <w:r w:rsidR="00AF7B92" w:rsidRPr="00751136">
        <w:rPr>
          <w:color w:val="auto"/>
          <w:spacing w:val="-2"/>
          <w:szCs w:val="20"/>
        </w:rPr>
        <w:t xml:space="preserve"> performance analysis of invested entity.</w:t>
      </w:r>
    </w:p>
    <w:p w14:paraId="2171584C" w14:textId="4504C22C" w:rsidR="00356B85" w:rsidRPr="00751136" w:rsidRDefault="00564C72" w:rsidP="0003043C">
      <w:pPr>
        <w:pStyle w:val="BodyTextIndent"/>
        <w:tabs>
          <w:tab w:val="right" w:pos="9360"/>
        </w:tabs>
        <w:ind w:left="540" w:hanging="540"/>
        <w:rPr>
          <w:b/>
          <w:bCs/>
          <w:color w:val="auto"/>
          <w:szCs w:val="20"/>
        </w:rPr>
      </w:pPr>
      <w:r w:rsidRPr="00751136">
        <w:rPr>
          <w:b/>
          <w:bCs/>
          <w:color w:val="auto"/>
          <w:szCs w:val="20"/>
        </w:rPr>
        <w:br w:type="page"/>
      </w:r>
      <w:r w:rsidR="002324FE" w:rsidRPr="00751136">
        <w:rPr>
          <w:b/>
          <w:bCs/>
          <w:color w:val="auto"/>
          <w:szCs w:val="20"/>
        </w:rPr>
        <w:lastRenderedPageBreak/>
        <w:t>5</w:t>
      </w:r>
      <w:r w:rsidR="00356B85" w:rsidRPr="00751136">
        <w:rPr>
          <w:b/>
          <w:bCs/>
          <w:color w:val="auto"/>
          <w:szCs w:val="20"/>
        </w:rPr>
        <w:tab/>
        <w:t>Investments measured at fair value through profit or loss</w:t>
      </w:r>
    </w:p>
    <w:p w14:paraId="14552411" w14:textId="77777777" w:rsidR="00356B85" w:rsidRPr="00751136" w:rsidRDefault="00356B85" w:rsidP="0003043C">
      <w:pPr>
        <w:jc w:val="both"/>
        <w:rPr>
          <w:color w:val="auto"/>
        </w:rPr>
      </w:pPr>
    </w:p>
    <w:p w14:paraId="652E7488" w14:textId="2EE21FDC" w:rsidR="00356B85" w:rsidRPr="00751136" w:rsidRDefault="00356B85" w:rsidP="0003043C">
      <w:pPr>
        <w:jc w:val="both"/>
        <w:rPr>
          <w:color w:val="auto"/>
          <w:shd w:val="clear" w:color="auto" w:fill="FFFFFF"/>
        </w:rPr>
      </w:pPr>
      <w:r w:rsidRPr="00751136">
        <w:rPr>
          <w:color w:val="auto"/>
        </w:rPr>
        <w:t xml:space="preserve">The movements in the investments measured at fair value through profit or loss </w:t>
      </w:r>
      <w:r w:rsidRPr="00751136">
        <w:rPr>
          <w:color w:val="auto"/>
          <w:shd w:val="clear" w:color="auto" w:fill="FFFFFF"/>
        </w:rPr>
        <w:t xml:space="preserve">for the </w:t>
      </w:r>
      <w:r w:rsidR="00952DD5" w:rsidRPr="00751136">
        <w:rPr>
          <w:color w:val="auto"/>
          <w:shd w:val="clear" w:color="auto" w:fill="FFFFFF"/>
        </w:rPr>
        <w:t>year</w:t>
      </w:r>
      <w:r w:rsidRPr="00751136">
        <w:rPr>
          <w:color w:val="auto"/>
          <w:shd w:val="clear" w:color="auto" w:fill="FFFFFF"/>
        </w:rPr>
        <w:t xml:space="preserve"> ended </w:t>
      </w:r>
      <w:r w:rsidR="0003043C" w:rsidRPr="00751136">
        <w:rPr>
          <w:color w:val="auto"/>
          <w:shd w:val="clear" w:color="auto" w:fill="FFFFFF"/>
        </w:rPr>
        <w:br/>
      </w:r>
      <w:r w:rsidRPr="00751136">
        <w:rPr>
          <w:color w:val="auto"/>
          <w:shd w:val="clear" w:color="auto" w:fill="FFFFFF"/>
          <w:lang w:val="en-GB"/>
        </w:rPr>
        <w:t>31</w:t>
      </w:r>
      <w:r w:rsidRPr="00751136">
        <w:rPr>
          <w:color w:val="auto"/>
          <w:shd w:val="clear" w:color="auto" w:fill="FFFFFF"/>
        </w:rPr>
        <w:t xml:space="preserve"> December </w:t>
      </w:r>
      <w:r w:rsidR="009F10C8" w:rsidRPr="00751136">
        <w:rPr>
          <w:color w:val="auto"/>
          <w:shd w:val="clear" w:color="auto" w:fill="FFFFFF"/>
        </w:rPr>
        <w:t xml:space="preserve">2025 and 2024 </w:t>
      </w:r>
      <w:r w:rsidRPr="00751136">
        <w:rPr>
          <w:color w:val="auto"/>
          <w:shd w:val="clear" w:color="auto" w:fill="FFFFFF"/>
        </w:rPr>
        <w:t xml:space="preserve">can be </w:t>
      </w:r>
      <w:proofErr w:type="spellStart"/>
      <w:r w:rsidRPr="00751136">
        <w:rPr>
          <w:color w:val="auto"/>
          <w:shd w:val="clear" w:color="auto" w:fill="FFFFFF"/>
        </w:rPr>
        <w:t>analysed</w:t>
      </w:r>
      <w:proofErr w:type="spellEnd"/>
      <w:r w:rsidRPr="00751136">
        <w:rPr>
          <w:color w:val="auto"/>
          <w:shd w:val="clear" w:color="auto" w:fill="FFFFFF"/>
        </w:rPr>
        <w:t xml:space="preserve"> as follows:</w:t>
      </w:r>
    </w:p>
    <w:p w14:paraId="522DCC0C" w14:textId="77777777" w:rsidR="0003043C" w:rsidRPr="00751136" w:rsidRDefault="0003043C" w:rsidP="0003043C">
      <w:pPr>
        <w:jc w:val="both"/>
        <w:rPr>
          <w:color w:val="auto"/>
          <w:shd w:val="clear" w:color="auto" w:fill="FFFFFF"/>
        </w:rPr>
      </w:pPr>
    </w:p>
    <w:tbl>
      <w:tblPr>
        <w:tblW w:w="9018" w:type="dxa"/>
        <w:tblInd w:w="108" w:type="dxa"/>
        <w:tblLayout w:type="fixed"/>
        <w:tblLook w:val="04A0" w:firstRow="1" w:lastRow="0" w:firstColumn="1" w:lastColumn="0" w:noHBand="0" w:noVBand="1"/>
      </w:tblPr>
      <w:tblGrid>
        <w:gridCol w:w="5812"/>
        <w:gridCol w:w="1622"/>
        <w:gridCol w:w="1584"/>
      </w:tblGrid>
      <w:tr w:rsidR="009F10C8" w:rsidRPr="00751136" w14:paraId="6EB756AD" w14:textId="77777777" w:rsidTr="005255E1">
        <w:tc>
          <w:tcPr>
            <w:tcW w:w="5812" w:type="dxa"/>
            <w:vAlign w:val="bottom"/>
          </w:tcPr>
          <w:p w14:paraId="308308FB" w14:textId="77777777" w:rsidR="009F10C8" w:rsidRPr="00751136" w:rsidRDefault="009F10C8" w:rsidP="0003043C">
            <w:pPr>
              <w:tabs>
                <w:tab w:val="right" w:pos="7200"/>
                <w:tab w:val="right" w:pos="9000"/>
              </w:tabs>
              <w:ind w:left="-101"/>
              <w:rPr>
                <w:b/>
                <w:bCs/>
                <w:color w:val="auto"/>
                <w:cs/>
                <w:lang w:val="th-TH" w:eastAsia="th-TH"/>
              </w:rPr>
            </w:pPr>
          </w:p>
        </w:tc>
        <w:tc>
          <w:tcPr>
            <w:tcW w:w="1622" w:type="dxa"/>
            <w:vAlign w:val="bottom"/>
          </w:tcPr>
          <w:p w14:paraId="31E2E9E7" w14:textId="4CB0FB97" w:rsidR="009F10C8" w:rsidRPr="00751136" w:rsidRDefault="009F10C8" w:rsidP="0003043C">
            <w:pPr>
              <w:ind w:left="555" w:right="-72" w:hanging="555"/>
              <w:jc w:val="right"/>
              <w:rPr>
                <w:b/>
                <w:bCs/>
                <w:color w:val="auto"/>
                <w:lang w:val="en-GB" w:eastAsia="th-TH"/>
              </w:rPr>
            </w:pPr>
            <w:r w:rsidRPr="00751136">
              <w:rPr>
                <w:b/>
                <w:bCs/>
                <w:color w:val="auto"/>
                <w:lang w:val="en-GB" w:eastAsia="th-TH"/>
              </w:rPr>
              <w:t>2025</w:t>
            </w:r>
          </w:p>
        </w:tc>
        <w:tc>
          <w:tcPr>
            <w:tcW w:w="1584" w:type="dxa"/>
            <w:vAlign w:val="bottom"/>
          </w:tcPr>
          <w:p w14:paraId="2DFC422D" w14:textId="77DE9ABB" w:rsidR="009F10C8" w:rsidRPr="00751136" w:rsidRDefault="009F10C8" w:rsidP="0003043C">
            <w:pPr>
              <w:ind w:left="555" w:right="-72" w:hanging="555"/>
              <w:jc w:val="right"/>
              <w:rPr>
                <w:b/>
                <w:bCs/>
                <w:color w:val="auto"/>
                <w:cs/>
                <w:lang w:val="en-GB" w:eastAsia="th-TH"/>
              </w:rPr>
            </w:pPr>
            <w:r w:rsidRPr="00751136">
              <w:rPr>
                <w:b/>
                <w:bCs/>
                <w:color w:val="auto"/>
                <w:lang w:val="en-GB" w:eastAsia="th-TH"/>
              </w:rPr>
              <w:t>2024</w:t>
            </w:r>
          </w:p>
        </w:tc>
      </w:tr>
      <w:tr w:rsidR="009F10C8" w:rsidRPr="00751136" w14:paraId="30DC9E42" w14:textId="77777777" w:rsidTr="005255E1">
        <w:tc>
          <w:tcPr>
            <w:tcW w:w="5812" w:type="dxa"/>
            <w:vAlign w:val="bottom"/>
          </w:tcPr>
          <w:p w14:paraId="0A8528A8" w14:textId="77777777" w:rsidR="009F10C8" w:rsidRPr="00751136" w:rsidRDefault="009F10C8" w:rsidP="0003043C">
            <w:pPr>
              <w:tabs>
                <w:tab w:val="right" w:pos="7200"/>
                <w:tab w:val="right" w:pos="9000"/>
              </w:tabs>
              <w:ind w:left="-101"/>
              <w:rPr>
                <w:b/>
                <w:bCs/>
                <w:color w:val="auto"/>
                <w:cs/>
                <w:lang w:val="th-TH" w:eastAsia="th-TH"/>
              </w:rPr>
            </w:pPr>
          </w:p>
        </w:tc>
        <w:tc>
          <w:tcPr>
            <w:tcW w:w="1622" w:type="dxa"/>
            <w:tcBorders>
              <w:bottom w:val="single" w:sz="4" w:space="0" w:color="auto"/>
            </w:tcBorders>
            <w:vAlign w:val="bottom"/>
          </w:tcPr>
          <w:p w14:paraId="0B188001" w14:textId="79AC4A43" w:rsidR="009F10C8" w:rsidRPr="00751136" w:rsidRDefault="009F10C8" w:rsidP="0003043C">
            <w:pPr>
              <w:ind w:right="-72"/>
              <w:jc w:val="right"/>
              <w:rPr>
                <w:b/>
                <w:bCs/>
                <w:color w:val="auto"/>
                <w:lang w:val="en-GB" w:eastAsia="th-TH"/>
              </w:rPr>
            </w:pPr>
            <w:r w:rsidRPr="00751136">
              <w:rPr>
                <w:b/>
                <w:bCs/>
                <w:color w:val="auto"/>
                <w:lang w:val="en-GB" w:eastAsia="th-TH"/>
              </w:rPr>
              <w:t>Baht</w:t>
            </w:r>
          </w:p>
        </w:tc>
        <w:tc>
          <w:tcPr>
            <w:tcW w:w="1584" w:type="dxa"/>
            <w:tcBorders>
              <w:bottom w:val="single" w:sz="4" w:space="0" w:color="auto"/>
            </w:tcBorders>
            <w:vAlign w:val="bottom"/>
          </w:tcPr>
          <w:p w14:paraId="3175679C" w14:textId="69340108" w:rsidR="009F10C8" w:rsidRPr="00751136" w:rsidRDefault="009F10C8" w:rsidP="0003043C">
            <w:pPr>
              <w:ind w:right="-72"/>
              <w:jc w:val="right"/>
              <w:rPr>
                <w:b/>
                <w:bCs/>
                <w:color w:val="auto"/>
                <w:cs/>
                <w:lang w:val="th-TH" w:eastAsia="th-TH"/>
              </w:rPr>
            </w:pPr>
            <w:r w:rsidRPr="00751136">
              <w:rPr>
                <w:b/>
                <w:bCs/>
                <w:color w:val="auto"/>
                <w:lang w:val="en-GB" w:eastAsia="th-TH"/>
              </w:rPr>
              <w:t>Baht</w:t>
            </w:r>
          </w:p>
        </w:tc>
      </w:tr>
      <w:tr w:rsidR="009F10C8" w:rsidRPr="00751136" w14:paraId="69D42330" w14:textId="77777777" w:rsidTr="005255E1">
        <w:tc>
          <w:tcPr>
            <w:tcW w:w="5812" w:type="dxa"/>
            <w:vAlign w:val="bottom"/>
          </w:tcPr>
          <w:p w14:paraId="1AB013B6" w14:textId="77777777" w:rsidR="009F10C8" w:rsidRPr="00751136" w:rsidRDefault="009F10C8" w:rsidP="0003043C">
            <w:pPr>
              <w:tabs>
                <w:tab w:val="right" w:pos="7200"/>
                <w:tab w:val="right" w:pos="9000"/>
              </w:tabs>
              <w:ind w:left="-101"/>
              <w:rPr>
                <w:color w:val="auto"/>
                <w:cs/>
                <w:lang w:val="th-TH" w:eastAsia="th-TH"/>
              </w:rPr>
            </w:pPr>
          </w:p>
        </w:tc>
        <w:tc>
          <w:tcPr>
            <w:tcW w:w="1622" w:type="dxa"/>
            <w:tcBorders>
              <w:top w:val="single" w:sz="4" w:space="0" w:color="auto"/>
            </w:tcBorders>
          </w:tcPr>
          <w:p w14:paraId="2243705E" w14:textId="77777777" w:rsidR="009F10C8" w:rsidRPr="00751136" w:rsidRDefault="009F10C8" w:rsidP="0003043C">
            <w:pPr>
              <w:ind w:right="-72"/>
              <w:jc w:val="right"/>
              <w:rPr>
                <w:color w:val="auto"/>
                <w:cs/>
                <w:lang w:val="th-TH" w:eastAsia="th-TH"/>
              </w:rPr>
            </w:pPr>
          </w:p>
        </w:tc>
        <w:tc>
          <w:tcPr>
            <w:tcW w:w="1584" w:type="dxa"/>
            <w:tcBorders>
              <w:top w:val="single" w:sz="4" w:space="0" w:color="auto"/>
            </w:tcBorders>
            <w:vAlign w:val="bottom"/>
          </w:tcPr>
          <w:p w14:paraId="6FF0E409" w14:textId="45F34FA6" w:rsidR="009F10C8" w:rsidRPr="00751136" w:rsidRDefault="009F10C8" w:rsidP="0003043C">
            <w:pPr>
              <w:ind w:right="-72"/>
              <w:jc w:val="right"/>
              <w:rPr>
                <w:color w:val="auto"/>
                <w:cs/>
                <w:lang w:val="th-TH" w:eastAsia="th-TH"/>
              </w:rPr>
            </w:pPr>
          </w:p>
        </w:tc>
      </w:tr>
      <w:tr w:rsidR="005255E1" w:rsidRPr="00751136" w14:paraId="3D86FE32" w14:textId="77777777" w:rsidTr="005255E1">
        <w:tc>
          <w:tcPr>
            <w:tcW w:w="5812" w:type="dxa"/>
            <w:vAlign w:val="bottom"/>
            <w:hideMark/>
          </w:tcPr>
          <w:p w14:paraId="0A56C7E6" w14:textId="58B75C7B" w:rsidR="005255E1" w:rsidRPr="00751136" w:rsidRDefault="005255E1" w:rsidP="0003043C">
            <w:pPr>
              <w:tabs>
                <w:tab w:val="right" w:pos="7200"/>
                <w:tab w:val="right" w:pos="9000"/>
              </w:tabs>
              <w:ind w:left="-101"/>
              <w:rPr>
                <w:color w:val="auto"/>
                <w:lang w:val="en-GB" w:eastAsia="th-TH"/>
              </w:rPr>
            </w:pPr>
            <w:r w:rsidRPr="00751136">
              <w:rPr>
                <w:color w:val="auto"/>
                <w:lang w:val="en-GB" w:eastAsia="th-TH"/>
              </w:rPr>
              <w:t>Beginning balance</w:t>
            </w:r>
          </w:p>
        </w:tc>
        <w:tc>
          <w:tcPr>
            <w:tcW w:w="1622" w:type="dxa"/>
          </w:tcPr>
          <w:p w14:paraId="31C85939" w14:textId="2734462E" w:rsidR="005255E1" w:rsidRPr="00751136" w:rsidRDefault="005255E1" w:rsidP="0003043C">
            <w:pPr>
              <w:ind w:right="-72"/>
              <w:jc w:val="right"/>
              <w:rPr>
                <w:color w:val="auto"/>
              </w:rPr>
            </w:pPr>
            <w:r w:rsidRPr="00751136">
              <w:rPr>
                <w:color w:val="auto"/>
              </w:rPr>
              <w:t>409,295,674</w:t>
            </w:r>
          </w:p>
        </w:tc>
        <w:tc>
          <w:tcPr>
            <w:tcW w:w="1584" w:type="dxa"/>
            <w:vAlign w:val="bottom"/>
          </w:tcPr>
          <w:p w14:paraId="3E3F85C4" w14:textId="103A908E" w:rsidR="005255E1" w:rsidRPr="00751136" w:rsidRDefault="005255E1" w:rsidP="0003043C">
            <w:pPr>
              <w:ind w:right="-72"/>
              <w:jc w:val="right"/>
              <w:rPr>
                <w:color w:val="auto"/>
                <w:cs/>
              </w:rPr>
            </w:pPr>
            <w:r w:rsidRPr="00751136">
              <w:rPr>
                <w:color w:val="auto"/>
              </w:rPr>
              <w:t>-</w:t>
            </w:r>
          </w:p>
        </w:tc>
      </w:tr>
      <w:tr w:rsidR="005255E1" w:rsidRPr="00751136" w14:paraId="791C8F68" w14:textId="77777777" w:rsidTr="005255E1">
        <w:tc>
          <w:tcPr>
            <w:tcW w:w="5812" w:type="dxa"/>
            <w:vAlign w:val="bottom"/>
          </w:tcPr>
          <w:p w14:paraId="7ED29455" w14:textId="20E0C685" w:rsidR="005255E1" w:rsidRPr="00751136" w:rsidRDefault="005255E1" w:rsidP="0003043C">
            <w:pPr>
              <w:tabs>
                <w:tab w:val="right" w:pos="7200"/>
                <w:tab w:val="right" w:pos="9000"/>
              </w:tabs>
              <w:ind w:left="-101"/>
              <w:rPr>
                <w:color w:val="auto"/>
                <w:lang w:val="en-GB" w:eastAsia="th-TH"/>
              </w:rPr>
            </w:pPr>
            <w:r w:rsidRPr="00751136">
              <w:rPr>
                <w:color w:val="auto"/>
                <w:cs/>
                <w:lang w:val="th-TH" w:eastAsia="th-TH"/>
              </w:rPr>
              <w:t>Addition</w:t>
            </w:r>
            <w:r w:rsidRPr="00751136">
              <w:rPr>
                <w:color w:val="auto"/>
                <w:lang w:val="en-GB" w:eastAsia="th-TH"/>
              </w:rPr>
              <w:t>s during the year</w:t>
            </w:r>
          </w:p>
        </w:tc>
        <w:tc>
          <w:tcPr>
            <w:tcW w:w="1622" w:type="dxa"/>
          </w:tcPr>
          <w:p w14:paraId="066E79C7" w14:textId="7732A64D" w:rsidR="005255E1" w:rsidRPr="00751136" w:rsidRDefault="005255E1" w:rsidP="0003043C">
            <w:pPr>
              <w:ind w:right="-72"/>
              <w:jc w:val="right"/>
              <w:rPr>
                <w:color w:val="auto"/>
              </w:rPr>
            </w:pPr>
            <w:r w:rsidRPr="00751136">
              <w:rPr>
                <w:color w:val="auto"/>
              </w:rPr>
              <w:t>1,323,636,003</w:t>
            </w:r>
          </w:p>
        </w:tc>
        <w:tc>
          <w:tcPr>
            <w:tcW w:w="1584" w:type="dxa"/>
            <w:vAlign w:val="bottom"/>
          </w:tcPr>
          <w:p w14:paraId="6F918EB7" w14:textId="6E13BE0A" w:rsidR="005255E1" w:rsidRPr="00751136" w:rsidRDefault="005255E1" w:rsidP="0003043C">
            <w:pPr>
              <w:ind w:right="-72"/>
              <w:jc w:val="right"/>
              <w:rPr>
                <w:color w:val="auto"/>
                <w:lang w:val="en-GB"/>
              </w:rPr>
            </w:pPr>
            <w:r w:rsidRPr="00751136">
              <w:rPr>
                <w:color w:val="auto"/>
                <w:lang w:val="en-GB"/>
              </w:rPr>
              <w:t>407,437,187</w:t>
            </w:r>
          </w:p>
        </w:tc>
      </w:tr>
      <w:tr w:rsidR="005255E1" w:rsidRPr="00751136" w14:paraId="08F303DD" w14:textId="77777777" w:rsidTr="005255E1">
        <w:tc>
          <w:tcPr>
            <w:tcW w:w="5812" w:type="dxa"/>
            <w:vAlign w:val="bottom"/>
          </w:tcPr>
          <w:p w14:paraId="7590948C" w14:textId="4B21BCB7" w:rsidR="005255E1" w:rsidRPr="00751136" w:rsidRDefault="005255E1" w:rsidP="0003043C">
            <w:pPr>
              <w:tabs>
                <w:tab w:val="right" w:pos="7200"/>
                <w:tab w:val="right" w:pos="9000"/>
              </w:tabs>
              <w:ind w:left="-101"/>
              <w:rPr>
                <w:color w:val="auto"/>
                <w:cs/>
                <w:lang w:val="th-TH" w:eastAsia="th-TH"/>
              </w:rPr>
            </w:pPr>
            <w:r w:rsidRPr="00751136">
              <w:rPr>
                <w:color w:val="auto"/>
                <w:lang w:val="th-TH" w:eastAsia="th-TH"/>
              </w:rPr>
              <w:t>Maturity</w:t>
            </w:r>
          </w:p>
        </w:tc>
        <w:tc>
          <w:tcPr>
            <w:tcW w:w="1622" w:type="dxa"/>
          </w:tcPr>
          <w:p w14:paraId="469FAC2E" w14:textId="6D22C25E" w:rsidR="005255E1" w:rsidRPr="00751136" w:rsidRDefault="005255E1" w:rsidP="0003043C">
            <w:pPr>
              <w:ind w:right="-72"/>
              <w:jc w:val="right"/>
              <w:rPr>
                <w:color w:val="auto"/>
              </w:rPr>
            </w:pPr>
            <w:r w:rsidRPr="00751136">
              <w:rPr>
                <w:color w:val="auto"/>
              </w:rPr>
              <w:t>(1,017,000,000)</w:t>
            </w:r>
          </w:p>
        </w:tc>
        <w:tc>
          <w:tcPr>
            <w:tcW w:w="1584" w:type="dxa"/>
            <w:vAlign w:val="bottom"/>
          </w:tcPr>
          <w:p w14:paraId="769D3B25" w14:textId="68519A69" w:rsidR="005255E1" w:rsidRPr="00751136" w:rsidRDefault="005255E1" w:rsidP="0003043C">
            <w:pPr>
              <w:ind w:right="-72"/>
              <w:jc w:val="right"/>
              <w:rPr>
                <w:color w:val="auto"/>
                <w:lang w:val="en-GB"/>
              </w:rPr>
            </w:pPr>
            <w:r w:rsidRPr="00751136">
              <w:rPr>
                <w:color w:val="auto"/>
              </w:rPr>
              <w:t>-</w:t>
            </w:r>
          </w:p>
        </w:tc>
      </w:tr>
      <w:tr w:rsidR="005255E1" w:rsidRPr="00751136" w14:paraId="659A69AE" w14:textId="77777777" w:rsidTr="005255E1">
        <w:tc>
          <w:tcPr>
            <w:tcW w:w="5812" w:type="dxa"/>
            <w:vAlign w:val="bottom"/>
            <w:hideMark/>
          </w:tcPr>
          <w:p w14:paraId="57B677AD" w14:textId="77777777" w:rsidR="005255E1" w:rsidRPr="00751136" w:rsidRDefault="005255E1" w:rsidP="0003043C">
            <w:pPr>
              <w:tabs>
                <w:tab w:val="right" w:pos="7200"/>
                <w:tab w:val="right" w:pos="9000"/>
              </w:tabs>
              <w:ind w:left="-101"/>
              <w:rPr>
                <w:color w:val="auto"/>
                <w:cs/>
                <w:lang w:val="en-GB" w:eastAsia="th-TH"/>
              </w:rPr>
            </w:pPr>
            <w:r w:rsidRPr="00751136">
              <w:rPr>
                <w:color w:val="auto"/>
                <w:lang w:val="th-TH" w:eastAsia="th-TH"/>
              </w:rPr>
              <w:t>Discount amortisation</w:t>
            </w:r>
          </w:p>
        </w:tc>
        <w:tc>
          <w:tcPr>
            <w:tcW w:w="1622" w:type="dxa"/>
          </w:tcPr>
          <w:p w14:paraId="29D1C73E" w14:textId="1052231A" w:rsidR="005255E1" w:rsidRPr="00751136" w:rsidRDefault="005255E1" w:rsidP="0003043C">
            <w:pPr>
              <w:ind w:right="-72"/>
              <w:jc w:val="right"/>
              <w:rPr>
                <w:color w:val="auto"/>
              </w:rPr>
            </w:pPr>
            <w:r w:rsidRPr="00751136">
              <w:rPr>
                <w:color w:val="auto"/>
              </w:rPr>
              <w:t>12,342,383</w:t>
            </w:r>
          </w:p>
        </w:tc>
        <w:tc>
          <w:tcPr>
            <w:tcW w:w="1584" w:type="dxa"/>
            <w:vAlign w:val="bottom"/>
          </w:tcPr>
          <w:p w14:paraId="0E19FB19" w14:textId="57426962" w:rsidR="005255E1" w:rsidRPr="00751136" w:rsidRDefault="005255E1" w:rsidP="0003043C">
            <w:pPr>
              <w:ind w:right="-72"/>
              <w:jc w:val="right"/>
              <w:rPr>
                <w:color w:val="auto"/>
                <w:cs/>
              </w:rPr>
            </w:pPr>
            <w:r w:rsidRPr="00751136">
              <w:rPr>
                <w:color w:val="auto"/>
              </w:rPr>
              <w:t>1,341,332</w:t>
            </w:r>
          </w:p>
        </w:tc>
      </w:tr>
      <w:tr w:rsidR="005255E1" w:rsidRPr="00751136" w14:paraId="6906C0AF" w14:textId="77777777" w:rsidTr="005255E1">
        <w:tc>
          <w:tcPr>
            <w:tcW w:w="5812" w:type="dxa"/>
            <w:vAlign w:val="bottom"/>
            <w:hideMark/>
          </w:tcPr>
          <w:p w14:paraId="317A99A7" w14:textId="699093AC" w:rsidR="005255E1" w:rsidRPr="00751136" w:rsidRDefault="005255E1" w:rsidP="0003043C">
            <w:pPr>
              <w:tabs>
                <w:tab w:val="right" w:pos="7200"/>
                <w:tab w:val="right" w:pos="9000"/>
              </w:tabs>
              <w:ind w:left="-101"/>
              <w:rPr>
                <w:color w:val="auto"/>
                <w:cs/>
                <w:lang w:val="en-GB" w:eastAsia="th-TH"/>
              </w:rPr>
            </w:pPr>
            <w:r w:rsidRPr="00751136">
              <w:rPr>
                <w:color w:val="auto"/>
                <w:lang w:val="en-GB" w:eastAsia="th-TH"/>
              </w:rPr>
              <w:t>Gain</w:t>
            </w:r>
            <w:r w:rsidRPr="00751136">
              <w:rPr>
                <w:color w:val="auto"/>
                <w:cs/>
                <w:lang w:val="th-TH" w:eastAsia="th-TH"/>
              </w:rPr>
              <w:t xml:space="preserve"> from change in fair value of</w:t>
            </w:r>
            <w:r w:rsidRPr="00751136">
              <w:rPr>
                <w:color w:val="auto"/>
                <w:lang w:val="en-GB" w:eastAsia="th-TH"/>
              </w:rPr>
              <w:t xml:space="preserve"> </w:t>
            </w:r>
            <w:r w:rsidRPr="00751136">
              <w:rPr>
                <w:color w:val="auto"/>
                <w:cs/>
                <w:lang w:val="th-TH" w:eastAsia="th-TH"/>
              </w:rPr>
              <w:t>investments</w:t>
            </w:r>
          </w:p>
        </w:tc>
        <w:tc>
          <w:tcPr>
            <w:tcW w:w="1622" w:type="dxa"/>
            <w:tcBorders>
              <w:bottom w:val="single" w:sz="4" w:space="0" w:color="auto"/>
            </w:tcBorders>
          </w:tcPr>
          <w:p w14:paraId="6999DA67" w14:textId="78527FF2" w:rsidR="005255E1" w:rsidRPr="00751136" w:rsidRDefault="005255E1" w:rsidP="0003043C">
            <w:pPr>
              <w:ind w:right="-72"/>
              <w:jc w:val="right"/>
              <w:rPr>
                <w:color w:val="auto"/>
              </w:rPr>
            </w:pPr>
            <w:r w:rsidRPr="00751136">
              <w:rPr>
                <w:color w:val="auto"/>
              </w:rPr>
              <w:t>289,659</w:t>
            </w:r>
          </w:p>
        </w:tc>
        <w:tc>
          <w:tcPr>
            <w:tcW w:w="1584" w:type="dxa"/>
            <w:tcBorders>
              <w:bottom w:val="single" w:sz="4" w:space="0" w:color="auto"/>
            </w:tcBorders>
            <w:vAlign w:val="bottom"/>
          </w:tcPr>
          <w:p w14:paraId="476565EC" w14:textId="6FD56BEA" w:rsidR="005255E1" w:rsidRPr="00751136" w:rsidRDefault="005255E1" w:rsidP="0003043C">
            <w:pPr>
              <w:ind w:right="-72"/>
              <w:jc w:val="right"/>
              <w:rPr>
                <w:color w:val="auto"/>
                <w:lang w:val="en-GB"/>
              </w:rPr>
            </w:pPr>
            <w:r w:rsidRPr="00751136">
              <w:rPr>
                <w:color w:val="auto"/>
                <w:lang w:val="en-GB"/>
              </w:rPr>
              <w:t>517,155</w:t>
            </w:r>
          </w:p>
        </w:tc>
      </w:tr>
      <w:tr w:rsidR="009F10C8" w:rsidRPr="00751136" w14:paraId="37E301F7" w14:textId="77777777" w:rsidTr="005255E1">
        <w:tc>
          <w:tcPr>
            <w:tcW w:w="5812" w:type="dxa"/>
            <w:vAlign w:val="bottom"/>
          </w:tcPr>
          <w:p w14:paraId="431AECF7" w14:textId="77777777" w:rsidR="009F10C8" w:rsidRPr="00751136" w:rsidRDefault="009F10C8" w:rsidP="0003043C">
            <w:pPr>
              <w:tabs>
                <w:tab w:val="right" w:pos="7200"/>
                <w:tab w:val="right" w:pos="9000"/>
              </w:tabs>
              <w:ind w:left="-101"/>
              <w:rPr>
                <w:color w:val="auto"/>
                <w:cs/>
                <w:lang w:val="th-TH" w:eastAsia="th-TH"/>
              </w:rPr>
            </w:pPr>
          </w:p>
        </w:tc>
        <w:tc>
          <w:tcPr>
            <w:tcW w:w="1622" w:type="dxa"/>
            <w:tcBorders>
              <w:top w:val="single" w:sz="4" w:space="0" w:color="auto"/>
            </w:tcBorders>
          </w:tcPr>
          <w:p w14:paraId="5249A717" w14:textId="77777777" w:rsidR="009F10C8" w:rsidRPr="00751136" w:rsidRDefault="009F10C8" w:rsidP="0003043C">
            <w:pPr>
              <w:ind w:right="-72"/>
              <w:jc w:val="right"/>
              <w:rPr>
                <w:color w:val="auto"/>
                <w:cs/>
                <w:lang w:val="th-TH" w:eastAsia="th-TH"/>
              </w:rPr>
            </w:pPr>
          </w:p>
        </w:tc>
        <w:tc>
          <w:tcPr>
            <w:tcW w:w="1584" w:type="dxa"/>
            <w:tcBorders>
              <w:top w:val="single" w:sz="4" w:space="0" w:color="auto"/>
            </w:tcBorders>
            <w:vAlign w:val="bottom"/>
          </w:tcPr>
          <w:p w14:paraId="7B018F14" w14:textId="4E5C9EEC" w:rsidR="009F10C8" w:rsidRPr="00751136" w:rsidRDefault="009F10C8" w:rsidP="0003043C">
            <w:pPr>
              <w:ind w:right="-72"/>
              <w:jc w:val="right"/>
              <w:rPr>
                <w:color w:val="auto"/>
                <w:cs/>
                <w:lang w:val="th-TH" w:eastAsia="th-TH"/>
              </w:rPr>
            </w:pPr>
          </w:p>
        </w:tc>
      </w:tr>
      <w:tr w:rsidR="009F10C8" w:rsidRPr="00751136" w14:paraId="5A84409E" w14:textId="77777777" w:rsidTr="005255E1">
        <w:trPr>
          <w:trHeight w:val="279"/>
        </w:trPr>
        <w:tc>
          <w:tcPr>
            <w:tcW w:w="5812" w:type="dxa"/>
            <w:vAlign w:val="bottom"/>
          </w:tcPr>
          <w:p w14:paraId="1ACF2ECF" w14:textId="4814EFEA" w:rsidR="009F10C8" w:rsidRPr="00751136" w:rsidRDefault="009F10C8" w:rsidP="0003043C">
            <w:pPr>
              <w:tabs>
                <w:tab w:val="right" w:pos="7200"/>
                <w:tab w:val="right" w:pos="9000"/>
              </w:tabs>
              <w:ind w:left="-101"/>
              <w:rPr>
                <w:color w:val="auto"/>
                <w:lang w:val="en-GB" w:eastAsia="th-TH"/>
              </w:rPr>
            </w:pPr>
            <w:r w:rsidRPr="00751136">
              <w:rPr>
                <w:color w:val="auto"/>
                <w:lang w:val="en-GB" w:eastAsia="th-TH"/>
              </w:rPr>
              <w:t>Ending balance</w:t>
            </w:r>
          </w:p>
        </w:tc>
        <w:tc>
          <w:tcPr>
            <w:tcW w:w="1622" w:type="dxa"/>
            <w:tcBorders>
              <w:bottom w:val="single" w:sz="4" w:space="0" w:color="auto"/>
            </w:tcBorders>
            <w:vAlign w:val="bottom"/>
          </w:tcPr>
          <w:p w14:paraId="6F925467" w14:textId="0D8CE2E9" w:rsidR="009F10C8" w:rsidRPr="00751136" w:rsidRDefault="005255E1" w:rsidP="0003043C">
            <w:pPr>
              <w:ind w:right="-72"/>
              <w:jc w:val="right"/>
              <w:rPr>
                <w:color w:val="auto"/>
                <w:lang w:val="en-GB"/>
              </w:rPr>
            </w:pPr>
            <w:r w:rsidRPr="00751136">
              <w:rPr>
                <w:color w:val="auto"/>
                <w:lang w:val="en-GB"/>
              </w:rPr>
              <w:t>728,563,719</w:t>
            </w:r>
          </w:p>
        </w:tc>
        <w:tc>
          <w:tcPr>
            <w:tcW w:w="1584" w:type="dxa"/>
            <w:tcBorders>
              <w:bottom w:val="single" w:sz="4" w:space="0" w:color="auto"/>
            </w:tcBorders>
            <w:vAlign w:val="bottom"/>
          </w:tcPr>
          <w:p w14:paraId="19437905" w14:textId="6E9BF1A6" w:rsidR="009F10C8" w:rsidRPr="00751136" w:rsidRDefault="009F10C8" w:rsidP="0003043C">
            <w:pPr>
              <w:ind w:right="-72"/>
              <w:jc w:val="right"/>
              <w:rPr>
                <w:color w:val="auto"/>
                <w:cs/>
                <w:lang w:val="en-GB"/>
              </w:rPr>
            </w:pPr>
            <w:r w:rsidRPr="00751136">
              <w:rPr>
                <w:color w:val="auto"/>
                <w:lang w:val="en-GB"/>
              </w:rPr>
              <w:t>409,295,674</w:t>
            </w:r>
          </w:p>
        </w:tc>
      </w:tr>
    </w:tbl>
    <w:p w14:paraId="58138E0C" w14:textId="77777777" w:rsidR="00564C72" w:rsidRPr="00751136" w:rsidRDefault="00564C72" w:rsidP="0003043C">
      <w:pPr>
        <w:tabs>
          <w:tab w:val="left" w:pos="540"/>
        </w:tabs>
        <w:rPr>
          <w:b/>
          <w:bCs/>
        </w:rPr>
      </w:pPr>
    </w:p>
    <w:p w14:paraId="28AADAA1" w14:textId="77777777" w:rsidR="00564C72" w:rsidRPr="00751136" w:rsidRDefault="00564C72" w:rsidP="0003043C">
      <w:pPr>
        <w:tabs>
          <w:tab w:val="left" w:pos="540"/>
        </w:tabs>
        <w:rPr>
          <w:b/>
          <w:bCs/>
        </w:rPr>
      </w:pPr>
    </w:p>
    <w:p w14:paraId="6049BF22" w14:textId="013D5321" w:rsidR="00B6455E" w:rsidRPr="00751136" w:rsidRDefault="002324FE" w:rsidP="0003043C">
      <w:pPr>
        <w:tabs>
          <w:tab w:val="left" w:pos="540"/>
        </w:tabs>
        <w:rPr>
          <w:b/>
          <w:bCs/>
          <w:color w:val="auto"/>
          <w:lang w:val="en-GB"/>
        </w:rPr>
      </w:pPr>
      <w:r w:rsidRPr="00751136">
        <w:rPr>
          <w:b/>
          <w:bCs/>
        </w:rPr>
        <w:t>6</w:t>
      </w:r>
      <w:r w:rsidR="00AD28F2" w:rsidRPr="00751136">
        <w:rPr>
          <w:b/>
          <w:bCs/>
          <w:color w:val="auto"/>
          <w:lang w:val="en-GB"/>
        </w:rPr>
        <w:tab/>
      </w:r>
      <w:r w:rsidR="00B6455E" w:rsidRPr="00751136">
        <w:rPr>
          <w:b/>
          <w:bCs/>
          <w:color w:val="auto"/>
          <w:lang w:val="en-GB"/>
        </w:rPr>
        <w:t>Investment</w:t>
      </w:r>
      <w:r w:rsidR="00757019" w:rsidRPr="00751136">
        <w:rPr>
          <w:b/>
          <w:bCs/>
          <w:color w:val="auto"/>
          <w:lang w:val="en-GB"/>
        </w:rPr>
        <w:t>s</w:t>
      </w:r>
      <w:r w:rsidR="00B6455E" w:rsidRPr="00751136">
        <w:rPr>
          <w:b/>
          <w:bCs/>
          <w:color w:val="auto"/>
          <w:lang w:val="en-GB"/>
        </w:rPr>
        <w:t xml:space="preserve"> in properties</w:t>
      </w:r>
      <w:r w:rsidR="00DB3A4F" w:rsidRPr="00751136">
        <w:rPr>
          <w:b/>
          <w:bCs/>
          <w:color w:val="auto"/>
          <w:lang w:val="en-GB"/>
        </w:rPr>
        <w:t xml:space="preserve"> at fair value</w:t>
      </w:r>
    </w:p>
    <w:p w14:paraId="0C1F9DD0" w14:textId="77777777" w:rsidR="0053237C" w:rsidRPr="00751136" w:rsidRDefault="0053237C" w:rsidP="0003043C">
      <w:pPr>
        <w:pStyle w:val="BodyTextIndent"/>
        <w:tabs>
          <w:tab w:val="right" w:pos="9360"/>
        </w:tabs>
        <w:ind w:left="0"/>
        <w:rPr>
          <w:color w:val="auto"/>
          <w:szCs w:val="20"/>
          <w:lang w:val="en-GB"/>
        </w:rPr>
      </w:pPr>
    </w:p>
    <w:p w14:paraId="55D56CE2" w14:textId="7A435A5B" w:rsidR="00B459D5" w:rsidRPr="00751136" w:rsidRDefault="00B459D5" w:rsidP="0003043C">
      <w:pPr>
        <w:pStyle w:val="BodyTextIndent"/>
        <w:tabs>
          <w:tab w:val="right" w:pos="9360"/>
        </w:tabs>
        <w:ind w:left="0"/>
        <w:rPr>
          <w:color w:val="auto"/>
          <w:szCs w:val="20"/>
          <w:cs/>
          <w:lang w:val="en-GB"/>
        </w:rPr>
      </w:pPr>
      <w:r w:rsidRPr="00751136">
        <w:rPr>
          <w:color w:val="auto"/>
          <w:szCs w:val="20"/>
          <w:lang w:val="en-GB"/>
        </w:rPr>
        <w:t xml:space="preserve">During the </w:t>
      </w:r>
      <w:r w:rsidR="00952DD5" w:rsidRPr="00751136">
        <w:rPr>
          <w:color w:val="auto"/>
          <w:szCs w:val="20"/>
          <w:lang w:val="en-GB"/>
        </w:rPr>
        <w:t>year</w:t>
      </w:r>
      <w:r w:rsidRPr="00751136">
        <w:rPr>
          <w:color w:val="auto"/>
          <w:szCs w:val="20"/>
          <w:lang w:val="en-GB"/>
        </w:rPr>
        <w:t xml:space="preserve">, the </w:t>
      </w:r>
      <w:r w:rsidR="00617091" w:rsidRPr="00751136">
        <w:rPr>
          <w:color w:val="auto"/>
          <w:szCs w:val="20"/>
          <w:lang w:val="en-GB"/>
        </w:rPr>
        <w:t>Trust</w:t>
      </w:r>
      <w:r w:rsidRPr="00751136">
        <w:rPr>
          <w:color w:val="auto"/>
          <w:szCs w:val="20"/>
          <w:lang w:val="en-GB"/>
        </w:rPr>
        <w:t xml:space="preserve"> conducted an independent valuer to revalue the </w:t>
      </w:r>
      <w:r w:rsidR="00617091" w:rsidRPr="00751136">
        <w:rPr>
          <w:color w:val="auto"/>
          <w:szCs w:val="20"/>
          <w:lang w:val="en-GB"/>
        </w:rPr>
        <w:t>Trust</w:t>
      </w:r>
      <w:r w:rsidRPr="00751136">
        <w:rPr>
          <w:color w:val="auto"/>
          <w:szCs w:val="20"/>
          <w:lang w:val="en-GB"/>
        </w:rPr>
        <w:t>’s investments in properties by using the income approach. As a result, the fair value of</w:t>
      </w:r>
      <w:r w:rsidR="00641516" w:rsidRPr="00751136">
        <w:rPr>
          <w:color w:val="auto"/>
          <w:szCs w:val="20"/>
          <w:lang w:val="en-GB"/>
        </w:rPr>
        <w:t xml:space="preserve"> the </w:t>
      </w:r>
      <w:r w:rsidRPr="00751136">
        <w:rPr>
          <w:color w:val="auto"/>
          <w:szCs w:val="20"/>
          <w:lang w:val="en-GB"/>
        </w:rPr>
        <w:t>investment</w:t>
      </w:r>
      <w:r w:rsidR="003F703D" w:rsidRPr="00751136">
        <w:rPr>
          <w:color w:val="auto"/>
          <w:szCs w:val="20"/>
          <w:lang w:val="en-GB"/>
        </w:rPr>
        <w:t>s</w:t>
      </w:r>
      <w:r w:rsidRPr="00751136">
        <w:rPr>
          <w:color w:val="auto"/>
          <w:szCs w:val="20"/>
          <w:lang w:val="en-GB"/>
        </w:rPr>
        <w:t xml:space="preserve"> in properties </w:t>
      </w:r>
      <w:r w:rsidRPr="00751136">
        <w:rPr>
          <w:color w:val="auto"/>
          <w:spacing w:val="-2"/>
          <w:szCs w:val="20"/>
          <w:lang w:val="en-GB"/>
        </w:rPr>
        <w:t xml:space="preserve">as at </w:t>
      </w:r>
      <w:r w:rsidR="001659E8" w:rsidRPr="00751136">
        <w:rPr>
          <w:color w:val="auto"/>
          <w:spacing w:val="-2"/>
          <w:szCs w:val="20"/>
          <w:lang w:val="en-GB"/>
        </w:rPr>
        <w:t>31</w:t>
      </w:r>
      <w:r w:rsidR="00DC769D" w:rsidRPr="00751136">
        <w:rPr>
          <w:color w:val="auto"/>
          <w:spacing w:val="-2"/>
          <w:szCs w:val="20"/>
          <w:lang w:val="en-GB"/>
        </w:rPr>
        <w:t xml:space="preserve"> December</w:t>
      </w:r>
      <w:r w:rsidRPr="00751136">
        <w:rPr>
          <w:color w:val="auto"/>
          <w:spacing w:val="-2"/>
          <w:szCs w:val="20"/>
          <w:lang w:val="en-GB"/>
        </w:rPr>
        <w:t xml:space="preserve"> </w:t>
      </w:r>
      <w:r w:rsidR="00E553D2" w:rsidRPr="00751136">
        <w:rPr>
          <w:color w:val="auto"/>
          <w:spacing w:val="-2"/>
          <w:szCs w:val="20"/>
          <w:lang w:val="en-GB"/>
        </w:rPr>
        <w:t>202</w:t>
      </w:r>
      <w:r w:rsidR="009F10C8" w:rsidRPr="00751136">
        <w:rPr>
          <w:color w:val="auto"/>
          <w:spacing w:val="-2"/>
          <w:szCs w:val="20"/>
          <w:lang w:val="en-GB"/>
        </w:rPr>
        <w:t>5</w:t>
      </w:r>
      <w:r w:rsidRPr="00751136">
        <w:rPr>
          <w:color w:val="auto"/>
          <w:spacing w:val="-2"/>
          <w:szCs w:val="20"/>
          <w:lang w:val="en-GB"/>
        </w:rPr>
        <w:t xml:space="preserve"> </w:t>
      </w:r>
      <w:r w:rsidR="00641516" w:rsidRPr="00751136">
        <w:rPr>
          <w:color w:val="auto"/>
          <w:spacing w:val="-2"/>
          <w:szCs w:val="20"/>
          <w:lang w:val="en-GB"/>
        </w:rPr>
        <w:t>amounted to</w:t>
      </w:r>
      <w:r w:rsidRPr="00751136">
        <w:rPr>
          <w:color w:val="auto"/>
          <w:spacing w:val="-2"/>
          <w:szCs w:val="20"/>
          <w:lang w:val="en-GB"/>
        </w:rPr>
        <w:t xml:space="preserve"> Baht</w:t>
      </w:r>
      <w:r w:rsidR="00F97BA3" w:rsidRPr="00751136">
        <w:rPr>
          <w:color w:val="auto"/>
          <w:spacing w:val="-2"/>
          <w:szCs w:val="20"/>
          <w:lang w:val="en-GB"/>
        </w:rPr>
        <w:t xml:space="preserve"> </w:t>
      </w:r>
      <w:r w:rsidR="00AA5413" w:rsidRPr="00751136">
        <w:rPr>
          <w:color w:val="auto"/>
          <w:spacing w:val="-2"/>
          <w:szCs w:val="20"/>
          <w:lang w:val="en-GB"/>
        </w:rPr>
        <w:t>4,772.00</w:t>
      </w:r>
      <w:r w:rsidRPr="00751136">
        <w:rPr>
          <w:color w:val="auto"/>
          <w:spacing w:val="-2"/>
          <w:szCs w:val="20"/>
          <w:lang w:val="en-GB"/>
        </w:rPr>
        <w:t xml:space="preserve"> million</w:t>
      </w:r>
      <w:r w:rsidR="00617091" w:rsidRPr="00751136">
        <w:rPr>
          <w:color w:val="auto"/>
          <w:spacing w:val="-2"/>
          <w:szCs w:val="20"/>
          <w:lang w:val="en-GB"/>
        </w:rPr>
        <w:t>.</w:t>
      </w:r>
      <w:r w:rsidR="00124C69" w:rsidRPr="00751136">
        <w:rPr>
          <w:color w:val="auto"/>
          <w:spacing w:val="-2"/>
          <w:szCs w:val="20"/>
          <w:lang w:val="en-GB"/>
        </w:rPr>
        <w:t xml:space="preserve"> </w:t>
      </w:r>
      <w:r w:rsidRPr="00751136">
        <w:rPr>
          <w:color w:val="auto"/>
          <w:spacing w:val="-2"/>
          <w:szCs w:val="20"/>
          <w:lang w:val="en-GB"/>
        </w:rPr>
        <w:t xml:space="preserve">In accordance with </w:t>
      </w:r>
      <w:r w:rsidR="00620CE6" w:rsidRPr="00751136">
        <w:rPr>
          <w:rFonts w:eastAsia="Calibri"/>
          <w:color w:val="auto"/>
          <w:spacing w:val="-2"/>
          <w:szCs w:val="20"/>
          <w:lang w:bidi="ar-SA"/>
        </w:rPr>
        <w:t>accounting guidelines</w:t>
      </w:r>
      <w:r w:rsidRPr="00751136">
        <w:rPr>
          <w:color w:val="auto"/>
          <w:szCs w:val="20"/>
          <w:lang w:val="en-GB"/>
        </w:rPr>
        <w:t>, the fair value of investment</w:t>
      </w:r>
      <w:r w:rsidR="003F703D" w:rsidRPr="00751136">
        <w:rPr>
          <w:color w:val="auto"/>
          <w:szCs w:val="20"/>
          <w:lang w:val="en-GB"/>
        </w:rPr>
        <w:t>s</w:t>
      </w:r>
      <w:r w:rsidRPr="00751136">
        <w:rPr>
          <w:color w:val="auto"/>
          <w:szCs w:val="20"/>
          <w:lang w:val="en-GB"/>
        </w:rPr>
        <w:t xml:space="preserve"> propert</w:t>
      </w:r>
      <w:r w:rsidR="00641516" w:rsidRPr="00751136">
        <w:rPr>
          <w:color w:val="auto"/>
          <w:szCs w:val="20"/>
          <w:lang w:val="en-GB"/>
        </w:rPr>
        <w:t>y</w:t>
      </w:r>
      <w:r w:rsidRPr="00751136">
        <w:rPr>
          <w:color w:val="auto"/>
          <w:szCs w:val="20"/>
          <w:lang w:val="en-GB"/>
        </w:rPr>
        <w:t xml:space="preserve"> is added back any recognised lease liability to arrive at the carrying </w:t>
      </w:r>
      <w:r w:rsidRPr="00751136">
        <w:rPr>
          <w:color w:val="auto"/>
          <w:spacing w:val="-4"/>
          <w:szCs w:val="20"/>
          <w:lang w:val="en-GB"/>
        </w:rPr>
        <w:t>amount of the investment property using the fair value model. As a result, the fair value of</w:t>
      </w:r>
      <w:r w:rsidR="00641516" w:rsidRPr="00751136">
        <w:rPr>
          <w:color w:val="auto"/>
          <w:spacing w:val="-4"/>
          <w:szCs w:val="20"/>
          <w:lang w:val="en-GB"/>
        </w:rPr>
        <w:t xml:space="preserve"> the</w:t>
      </w:r>
      <w:r w:rsidRPr="00751136">
        <w:rPr>
          <w:color w:val="auto"/>
          <w:spacing w:val="-4"/>
          <w:szCs w:val="20"/>
          <w:lang w:val="en-GB"/>
        </w:rPr>
        <w:t xml:space="preserve"> investment</w:t>
      </w:r>
      <w:r w:rsidR="003F703D" w:rsidRPr="00751136">
        <w:rPr>
          <w:color w:val="auto"/>
          <w:spacing w:val="-4"/>
          <w:szCs w:val="20"/>
          <w:lang w:val="en-GB"/>
        </w:rPr>
        <w:t>s</w:t>
      </w:r>
      <w:r w:rsidRPr="00751136">
        <w:rPr>
          <w:color w:val="auto"/>
          <w:szCs w:val="20"/>
          <w:lang w:val="en-GB"/>
        </w:rPr>
        <w:t xml:space="preserve"> in properties as at </w:t>
      </w:r>
      <w:r w:rsidR="001659E8" w:rsidRPr="00751136">
        <w:rPr>
          <w:color w:val="auto"/>
          <w:szCs w:val="20"/>
          <w:lang w:val="en-GB"/>
        </w:rPr>
        <w:t>31</w:t>
      </w:r>
      <w:r w:rsidR="00DC769D" w:rsidRPr="00751136">
        <w:rPr>
          <w:color w:val="auto"/>
          <w:szCs w:val="20"/>
          <w:lang w:val="en-GB"/>
        </w:rPr>
        <w:t xml:space="preserve"> December </w:t>
      </w:r>
      <w:r w:rsidR="00E553D2" w:rsidRPr="00751136">
        <w:rPr>
          <w:color w:val="auto"/>
          <w:szCs w:val="20"/>
          <w:lang w:val="en-GB"/>
        </w:rPr>
        <w:t>202</w:t>
      </w:r>
      <w:r w:rsidR="009F10C8" w:rsidRPr="00751136">
        <w:rPr>
          <w:color w:val="auto"/>
          <w:szCs w:val="20"/>
          <w:lang w:val="en-GB"/>
        </w:rPr>
        <w:t>5</w:t>
      </w:r>
      <w:r w:rsidR="00DC769D" w:rsidRPr="00751136">
        <w:rPr>
          <w:color w:val="auto"/>
          <w:szCs w:val="20"/>
          <w:lang w:val="en-GB"/>
        </w:rPr>
        <w:t xml:space="preserve"> </w:t>
      </w:r>
      <w:r w:rsidR="00641516" w:rsidRPr="00751136">
        <w:rPr>
          <w:color w:val="auto"/>
          <w:szCs w:val="20"/>
          <w:lang w:val="en-GB"/>
        </w:rPr>
        <w:t>amounted</w:t>
      </w:r>
      <w:r w:rsidRPr="00751136">
        <w:rPr>
          <w:color w:val="auto"/>
          <w:szCs w:val="20"/>
          <w:lang w:val="en-GB"/>
        </w:rPr>
        <w:t xml:space="preserve"> to Baht</w:t>
      </w:r>
      <w:r w:rsidR="00F97BA3" w:rsidRPr="00751136">
        <w:rPr>
          <w:color w:val="auto"/>
          <w:szCs w:val="20"/>
          <w:lang w:val="en-GB"/>
        </w:rPr>
        <w:t xml:space="preserve"> </w:t>
      </w:r>
      <w:r w:rsidR="00AA5413" w:rsidRPr="00751136">
        <w:rPr>
          <w:color w:val="auto"/>
          <w:szCs w:val="20"/>
          <w:lang w:val="en-GB"/>
        </w:rPr>
        <w:t>11,484.36</w:t>
      </w:r>
      <w:r w:rsidR="00F97BA3" w:rsidRPr="00751136">
        <w:rPr>
          <w:color w:val="auto"/>
          <w:szCs w:val="20"/>
          <w:lang w:val="en-GB"/>
        </w:rPr>
        <w:t xml:space="preserve"> </w:t>
      </w:r>
      <w:r w:rsidRPr="00751136">
        <w:rPr>
          <w:color w:val="auto"/>
          <w:szCs w:val="20"/>
          <w:lang w:val="en-GB"/>
        </w:rPr>
        <w:t xml:space="preserve">million with a </w:t>
      </w:r>
      <w:r w:rsidR="0054135B" w:rsidRPr="00751136">
        <w:rPr>
          <w:color w:val="auto"/>
          <w:szCs w:val="25"/>
        </w:rPr>
        <w:t>loss</w:t>
      </w:r>
      <w:r w:rsidR="00617091" w:rsidRPr="00751136">
        <w:rPr>
          <w:color w:val="auto"/>
          <w:szCs w:val="20"/>
          <w:lang w:val="en-GB"/>
        </w:rPr>
        <w:t xml:space="preserve"> </w:t>
      </w:r>
      <w:r w:rsidRPr="00751136">
        <w:rPr>
          <w:color w:val="auto"/>
          <w:szCs w:val="20"/>
          <w:lang w:val="en-GB"/>
        </w:rPr>
        <w:t xml:space="preserve">from change in </w:t>
      </w:r>
      <w:r w:rsidRPr="00751136">
        <w:rPr>
          <w:color w:val="auto"/>
          <w:spacing w:val="-4"/>
          <w:szCs w:val="20"/>
          <w:lang w:val="en-GB"/>
        </w:rPr>
        <w:t>fair value of investments</w:t>
      </w:r>
      <w:r w:rsidR="00037DF2" w:rsidRPr="00751136">
        <w:rPr>
          <w:color w:val="auto"/>
          <w:spacing w:val="-4"/>
          <w:szCs w:val="20"/>
        </w:rPr>
        <w:t xml:space="preserve"> in properties</w:t>
      </w:r>
      <w:r w:rsidRPr="00751136">
        <w:rPr>
          <w:color w:val="auto"/>
          <w:spacing w:val="-4"/>
          <w:szCs w:val="20"/>
          <w:lang w:val="en-GB"/>
        </w:rPr>
        <w:t xml:space="preserve"> of Baht</w:t>
      </w:r>
      <w:r w:rsidR="00F97BA3" w:rsidRPr="00751136">
        <w:rPr>
          <w:color w:val="auto"/>
          <w:spacing w:val="-4"/>
          <w:szCs w:val="20"/>
          <w:lang w:val="en-GB"/>
        </w:rPr>
        <w:t xml:space="preserve"> </w:t>
      </w:r>
      <w:r w:rsidR="00AA5413" w:rsidRPr="00751136">
        <w:rPr>
          <w:color w:val="auto"/>
          <w:spacing w:val="-4"/>
          <w:szCs w:val="20"/>
          <w:lang w:val="en-GB"/>
        </w:rPr>
        <w:t>21.93</w:t>
      </w:r>
      <w:r w:rsidR="00617091" w:rsidRPr="00751136">
        <w:rPr>
          <w:color w:val="auto"/>
          <w:spacing w:val="-4"/>
          <w:szCs w:val="20"/>
          <w:lang w:val="en-GB"/>
        </w:rPr>
        <w:t xml:space="preserve"> </w:t>
      </w:r>
      <w:r w:rsidRPr="00751136">
        <w:rPr>
          <w:color w:val="auto"/>
          <w:spacing w:val="-4"/>
          <w:szCs w:val="20"/>
          <w:lang w:val="en-GB"/>
        </w:rPr>
        <w:t xml:space="preserve">million recognised in the </w:t>
      </w:r>
      <w:r w:rsidR="00EA6E44" w:rsidRPr="00751136">
        <w:rPr>
          <w:color w:val="auto"/>
          <w:spacing w:val="-4"/>
          <w:szCs w:val="20"/>
          <w:lang w:val="en-GB"/>
        </w:rPr>
        <w:t>S</w:t>
      </w:r>
      <w:r w:rsidRPr="00751136">
        <w:rPr>
          <w:color w:val="auto"/>
          <w:spacing w:val="-4"/>
          <w:szCs w:val="20"/>
          <w:lang w:val="en-GB"/>
        </w:rPr>
        <w:t xml:space="preserve">tatement of </w:t>
      </w:r>
      <w:r w:rsidR="00EA6E44" w:rsidRPr="00751136">
        <w:rPr>
          <w:color w:val="auto"/>
          <w:spacing w:val="-4"/>
          <w:szCs w:val="20"/>
          <w:lang w:val="en-GB"/>
        </w:rPr>
        <w:t>C</w:t>
      </w:r>
      <w:r w:rsidRPr="00751136">
        <w:rPr>
          <w:color w:val="auto"/>
          <w:spacing w:val="-4"/>
          <w:szCs w:val="20"/>
          <w:lang w:val="en-GB"/>
        </w:rPr>
        <w:t>omprehensive</w:t>
      </w:r>
      <w:r w:rsidRPr="00751136">
        <w:rPr>
          <w:color w:val="auto"/>
          <w:szCs w:val="20"/>
          <w:lang w:val="en-GB"/>
        </w:rPr>
        <w:t xml:space="preserve"> </w:t>
      </w:r>
      <w:r w:rsidR="00EA6E44" w:rsidRPr="00751136">
        <w:rPr>
          <w:color w:val="auto"/>
          <w:szCs w:val="20"/>
          <w:lang w:val="en-GB"/>
        </w:rPr>
        <w:t>I</w:t>
      </w:r>
      <w:r w:rsidRPr="00751136">
        <w:rPr>
          <w:color w:val="auto"/>
          <w:szCs w:val="20"/>
          <w:lang w:val="en-GB"/>
        </w:rPr>
        <w:t>ncome.</w:t>
      </w:r>
    </w:p>
    <w:p w14:paraId="27769AAF" w14:textId="77777777" w:rsidR="009F10C8" w:rsidRPr="00751136" w:rsidRDefault="009F10C8" w:rsidP="0003043C">
      <w:pPr>
        <w:jc w:val="both"/>
        <w:rPr>
          <w:color w:val="auto"/>
        </w:rPr>
      </w:pPr>
    </w:p>
    <w:p w14:paraId="776CCA82" w14:textId="1D98B065" w:rsidR="00DD7281" w:rsidRPr="00751136" w:rsidRDefault="00DD7281" w:rsidP="0003043C">
      <w:pPr>
        <w:rPr>
          <w:color w:val="auto"/>
          <w:shd w:val="clear" w:color="auto" w:fill="FFFFFF"/>
        </w:rPr>
      </w:pPr>
      <w:r w:rsidRPr="00751136">
        <w:rPr>
          <w:color w:val="auto"/>
        </w:rPr>
        <w:t xml:space="preserve">The movements in the fair value of </w:t>
      </w:r>
      <w:r w:rsidR="00641516" w:rsidRPr="00751136">
        <w:rPr>
          <w:color w:val="auto"/>
        </w:rPr>
        <w:t xml:space="preserve">the </w:t>
      </w:r>
      <w:r w:rsidRPr="00751136">
        <w:rPr>
          <w:color w:val="auto"/>
        </w:rPr>
        <w:t>investment</w:t>
      </w:r>
      <w:r w:rsidR="003F703D" w:rsidRPr="00751136">
        <w:rPr>
          <w:color w:val="auto"/>
        </w:rPr>
        <w:t>s</w:t>
      </w:r>
      <w:r w:rsidRPr="00751136">
        <w:rPr>
          <w:color w:val="auto"/>
        </w:rPr>
        <w:t xml:space="preserve"> in properties </w:t>
      </w:r>
      <w:r w:rsidR="001E7A42" w:rsidRPr="00751136">
        <w:rPr>
          <w:color w:val="auto"/>
          <w:shd w:val="clear" w:color="auto" w:fill="FFFFFF"/>
        </w:rPr>
        <w:t xml:space="preserve">can be </w:t>
      </w:r>
      <w:proofErr w:type="spellStart"/>
      <w:r w:rsidR="001E7A42" w:rsidRPr="00751136">
        <w:rPr>
          <w:color w:val="auto"/>
          <w:shd w:val="clear" w:color="auto" w:fill="FFFFFF"/>
        </w:rPr>
        <w:t>analysed</w:t>
      </w:r>
      <w:proofErr w:type="spellEnd"/>
      <w:r w:rsidR="001E7A42" w:rsidRPr="00751136">
        <w:rPr>
          <w:color w:val="auto"/>
          <w:shd w:val="clear" w:color="auto" w:fill="FFFFFF"/>
        </w:rPr>
        <w:t xml:space="preserve"> as follows:</w:t>
      </w:r>
    </w:p>
    <w:p w14:paraId="23A1D125" w14:textId="77777777" w:rsidR="001B03E7" w:rsidRPr="00751136" w:rsidRDefault="001B03E7" w:rsidP="0003043C">
      <w:pPr>
        <w:jc w:val="both"/>
        <w:rPr>
          <w:color w:val="auto"/>
        </w:rPr>
      </w:pPr>
    </w:p>
    <w:tbl>
      <w:tblPr>
        <w:tblW w:w="9018" w:type="dxa"/>
        <w:tblInd w:w="108" w:type="dxa"/>
        <w:tblLayout w:type="fixed"/>
        <w:tblLook w:val="0000" w:firstRow="0" w:lastRow="0" w:firstColumn="0" w:lastColumn="0" w:noHBand="0" w:noVBand="0"/>
      </w:tblPr>
      <w:tblGrid>
        <w:gridCol w:w="5812"/>
        <w:gridCol w:w="1622"/>
        <w:gridCol w:w="1584"/>
      </w:tblGrid>
      <w:tr w:rsidR="009F10C8" w:rsidRPr="00751136" w14:paraId="66764CAE" w14:textId="45DAD81E" w:rsidTr="00AA5413">
        <w:tc>
          <w:tcPr>
            <w:tcW w:w="5812" w:type="dxa"/>
            <w:vAlign w:val="bottom"/>
          </w:tcPr>
          <w:p w14:paraId="11E12BEC" w14:textId="77777777" w:rsidR="009F10C8" w:rsidRPr="00751136" w:rsidRDefault="009F10C8" w:rsidP="0003043C">
            <w:pPr>
              <w:pStyle w:val="BodyTextIndent"/>
              <w:ind w:left="-101"/>
              <w:jc w:val="left"/>
              <w:rPr>
                <w:color w:val="auto"/>
                <w:szCs w:val="20"/>
                <w:lang w:val="en-GB"/>
              </w:rPr>
            </w:pPr>
            <w:bookmarkStart w:id="2" w:name="_Hlk139876747"/>
          </w:p>
        </w:tc>
        <w:tc>
          <w:tcPr>
            <w:tcW w:w="1622" w:type="dxa"/>
            <w:vAlign w:val="bottom"/>
          </w:tcPr>
          <w:p w14:paraId="660BA7C6" w14:textId="5D84E383" w:rsidR="009F10C8" w:rsidRPr="00751136" w:rsidRDefault="009F10C8" w:rsidP="0003043C">
            <w:pPr>
              <w:pStyle w:val="BodyTextIndent"/>
              <w:ind w:left="0" w:right="-72"/>
              <w:jc w:val="right"/>
              <w:rPr>
                <w:b/>
                <w:bCs/>
                <w:color w:val="auto"/>
                <w:szCs w:val="20"/>
                <w:lang w:val="en-GB" w:eastAsia="th-TH"/>
              </w:rPr>
            </w:pPr>
            <w:r w:rsidRPr="00751136">
              <w:rPr>
                <w:b/>
                <w:bCs/>
                <w:color w:val="auto"/>
                <w:szCs w:val="20"/>
                <w:lang w:val="en-GB" w:eastAsia="th-TH"/>
              </w:rPr>
              <w:t>2025</w:t>
            </w:r>
          </w:p>
        </w:tc>
        <w:tc>
          <w:tcPr>
            <w:tcW w:w="1584" w:type="dxa"/>
            <w:vAlign w:val="bottom"/>
          </w:tcPr>
          <w:p w14:paraId="73964231" w14:textId="06CC48A5"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2024</w:t>
            </w:r>
          </w:p>
        </w:tc>
      </w:tr>
      <w:bookmarkEnd w:id="2"/>
      <w:tr w:rsidR="009F10C8" w:rsidRPr="00751136" w14:paraId="63EFED50" w14:textId="156FF8BB" w:rsidTr="00AA5413">
        <w:tc>
          <w:tcPr>
            <w:tcW w:w="5812" w:type="dxa"/>
            <w:vAlign w:val="bottom"/>
          </w:tcPr>
          <w:p w14:paraId="6368AB37" w14:textId="77777777" w:rsidR="009F10C8" w:rsidRPr="00751136" w:rsidRDefault="009F10C8" w:rsidP="0003043C">
            <w:pPr>
              <w:pStyle w:val="BodyTextIndent"/>
              <w:ind w:left="-101"/>
              <w:jc w:val="left"/>
              <w:rPr>
                <w:color w:val="auto"/>
                <w:szCs w:val="20"/>
                <w:lang w:val="en-GB"/>
              </w:rPr>
            </w:pPr>
          </w:p>
        </w:tc>
        <w:tc>
          <w:tcPr>
            <w:tcW w:w="1622" w:type="dxa"/>
            <w:tcBorders>
              <w:bottom w:val="single" w:sz="4" w:space="0" w:color="auto"/>
            </w:tcBorders>
            <w:vAlign w:val="bottom"/>
          </w:tcPr>
          <w:p w14:paraId="1D75341A" w14:textId="4E190B28"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Baht</w:t>
            </w:r>
          </w:p>
        </w:tc>
        <w:tc>
          <w:tcPr>
            <w:tcW w:w="1584" w:type="dxa"/>
            <w:tcBorders>
              <w:bottom w:val="single" w:sz="4" w:space="0" w:color="auto"/>
            </w:tcBorders>
            <w:vAlign w:val="bottom"/>
          </w:tcPr>
          <w:p w14:paraId="7F365F38" w14:textId="68303BDB" w:rsidR="009F10C8" w:rsidRPr="00751136" w:rsidRDefault="009F10C8" w:rsidP="0003043C">
            <w:pPr>
              <w:pStyle w:val="BodyTextIndent"/>
              <w:ind w:left="0" w:right="-72"/>
              <w:jc w:val="right"/>
              <w:rPr>
                <w:color w:val="auto"/>
                <w:szCs w:val="20"/>
                <w:lang w:val="en-GB"/>
              </w:rPr>
            </w:pPr>
            <w:r w:rsidRPr="00751136">
              <w:rPr>
                <w:b/>
                <w:bCs/>
                <w:color w:val="auto"/>
                <w:szCs w:val="20"/>
              </w:rPr>
              <w:t>Baht</w:t>
            </w:r>
          </w:p>
        </w:tc>
      </w:tr>
      <w:tr w:rsidR="009F10C8" w:rsidRPr="00751136" w14:paraId="133A7369" w14:textId="0F0E5067" w:rsidTr="00AA5413">
        <w:tc>
          <w:tcPr>
            <w:tcW w:w="5812" w:type="dxa"/>
            <w:vAlign w:val="bottom"/>
          </w:tcPr>
          <w:p w14:paraId="06700D94" w14:textId="77777777" w:rsidR="009F10C8" w:rsidRPr="00751136" w:rsidRDefault="009F10C8" w:rsidP="0003043C">
            <w:pPr>
              <w:tabs>
                <w:tab w:val="right" w:pos="7200"/>
                <w:tab w:val="right" w:pos="9000"/>
              </w:tabs>
              <w:ind w:left="-101"/>
              <w:rPr>
                <w:color w:val="auto"/>
                <w:lang w:val="th-TH" w:eastAsia="th-TH"/>
              </w:rPr>
            </w:pPr>
          </w:p>
        </w:tc>
        <w:tc>
          <w:tcPr>
            <w:tcW w:w="1622" w:type="dxa"/>
            <w:tcBorders>
              <w:top w:val="single" w:sz="4" w:space="0" w:color="auto"/>
            </w:tcBorders>
          </w:tcPr>
          <w:p w14:paraId="5BB57575" w14:textId="77777777" w:rsidR="009F10C8" w:rsidRPr="00751136" w:rsidRDefault="009F10C8" w:rsidP="0003043C">
            <w:pPr>
              <w:tabs>
                <w:tab w:val="right" w:pos="7200"/>
                <w:tab w:val="right" w:pos="9000"/>
              </w:tabs>
              <w:ind w:left="-101"/>
              <w:rPr>
                <w:color w:val="auto"/>
                <w:lang w:val="th-TH" w:eastAsia="th-TH"/>
              </w:rPr>
            </w:pPr>
          </w:p>
        </w:tc>
        <w:tc>
          <w:tcPr>
            <w:tcW w:w="1584" w:type="dxa"/>
            <w:tcBorders>
              <w:top w:val="single" w:sz="4" w:space="0" w:color="auto"/>
            </w:tcBorders>
            <w:vAlign w:val="bottom"/>
          </w:tcPr>
          <w:p w14:paraId="1D1A40F3" w14:textId="345C805E" w:rsidR="009F10C8" w:rsidRPr="00751136" w:rsidRDefault="009F10C8" w:rsidP="0003043C">
            <w:pPr>
              <w:tabs>
                <w:tab w:val="right" w:pos="7200"/>
                <w:tab w:val="right" w:pos="9000"/>
              </w:tabs>
              <w:ind w:left="-101"/>
              <w:rPr>
                <w:color w:val="auto"/>
                <w:lang w:val="th-TH" w:eastAsia="th-TH"/>
              </w:rPr>
            </w:pPr>
          </w:p>
        </w:tc>
      </w:tr>
      <w:tr w:rsidR="00AA5413" w:rsidRPr="00751136" w14:paraId="7AE6A1E7" w14:textId="33561D29" w:rsidTr="00AA5413">
        <w:tc>
          <w:tcPr>
            <w:tcW w:w="5812" w:type="dxa"/>
            <w:vAlign w:val="bottom"/>
          </w:tcPr>
          <w:p w14:paraId="446A4169" w14:textId="78A6A34F" w:rsidR="00AA5413" w:rsidRPr="00751136" w:rsidRDefault="00AA5413" w:rsidP="0003043C">
            <w:pPr>
              <w:pStyle w:val="BodyTextIndent"/>
              <w:ind w:left="-101"/>
              <w:jc w:val="left"/>
              <w:rPr>
                <w:color w:val="auto"/>
                <w:szCs w:val="20"/>
              </w:rPr>
            </w:pPr>
            <w:bookmarkStart w:id="3" w:name="OLE_LINK1"/>
            <w:r w:rsidRPr="00751136">
              <w:rPr>
                <w:color w:val="auto"/>
                <w:szCs w:val="20"/>
              </w:rPr>
              <w:t>Beginning balance</w:t>
            </w:r>
          </w:p>
        </w:tc>
        <w:tc>
          <w:tcPr>
            <w:tcW w:w="1622" w:type="dxa"/>
          </w:tcPr>
          <w:p w14:paraId="3BCE758A" w14:textId="5F54A6BB" w:rsidR="00AA5413" w:rsidRPr="00751136" w:rsidRDefault="00AA5413" w:rsidP="0003043C">
            <w:pPr>
              <w:ind w:right="-72"/>
              <w:jc w:val="right"/>
              <w:rPr>
                <w:color w:val="auto"/>
                <w:lang w:val="en-GB"/>
              </w:rPr>
            </w:pPr>
            <w:r w:rsidRPr="00751136">
              <w:rPr>
                <w:color w:val="auto"/>
                <w:lang w:val="en-GB"/>
              </w:rPr>
              <w:t>11,295,466,407</w:t>
            </w:r>
          </w:p>
        </w:tc>
        <w:tc>
          <w:tcPr>
            <w:tcW w:w="1584" w:type="dxa"/>
            <w:vAlign w:val="bottom"/>
          </w:tcPr>
          <w:p w14:paraId="5AC962F8" w14:textId="5B67E524" w:rsidR="00AA5413" w:rsidRPr="00751136" w:rsidRDefault="00AA5413" w:rsidP="0003043C">
            <w:pPr>
              <w:ind w:right="-72"/>
              <w:jc w:val="right"/>
              <w:rPr>
                <w:color w:val="auto"/>
                <w:cs/>
                <w:lang w:val="en-GB"/>
              </w:rPr>
            </w:pPr>
            <w:r w:rsidRPr="00751136">
              <w:rPr>
                <w:color w:val="auto"/>
                <w:lang w:val="en-GB"/>
              </w:rPr>
              <w:t>-</w:t>
            </w:r>
          </w:p>
        </w:tc>
      </w:tr>
      <w:tr w:rsidR="00AA5413" w:rsidRPr="00751136" w14:paraId="2B1C4837" w14:textId="450BA886" w:rsidTr="00AA5413">
        <w:tc>
          <w:tcPr>
            <w:tcW w:w="5812" w:type="dxa"/>
            <w:vAlign w:val="bottom"/>
          </w:tcPr>
          <w:p w14:paraId="7CDE04A3" w14:textId="477122ED" w:rsidR="00AA5413" w:rsidRPr="00751136" w:rsidRDefault="00AA5413" w:rsidP="0003043C">
            <w:pPr>
              <w:pStyle w:val="BodyTextIndent"/>
              <w:tabs>
                <w:tab w:val="left" w:pos="972"/>
              </w:tabs>
              <w:ind w:left="-101"/>
              <w:jc w:val="left"/>
              <w:rPr>
                <w:color w:val="auto"/>
                <w:spacing w:val="8"/>
                <w:szCs w:val="20"/>
              </w:rPr>
            </w:pPr>
            <w:r w:rsidRPr="00751136">
              <w:rPr>
                <w:color w:val="auto"/>
                <w:szCs w:val="20"/>
              </w:rPr>
              <w:t>Additions during the year</w:t>
            </w:r>
          </w:p>
        </w:tc>
        <w:tc>
          <w:tcPr>
            <w:tcW w:w="1622" w:type="dxa"/>
          </w:tcPr>
          <w:p w14:paraId="1980F130" w14:textId="40F5DEFE" w:rsidR="00AA5413" w:rsidRPr="00751136" w:rsidRDefault="00AA5413" w:rsidP="0003043C">
            <w:pPr>
              <w:ind w:right="-72"/>
              <w:jc w:val="right"/>
              <w:rPr>
                <w:color w:val="auto"/>
                <w:lang w:val="en-GB"/>
              </w:rPr>
            </w:pPr>
            <w:r w:rsidRPr="00751136">
              <w:rPr>
                <w:color w:val="auto"/>
                <w:lang w:val="en-GB"/>
              </w:rPr>
              <w:t>208,827,168</w:t>
            </w:r>
          </w:p>
        </w:tc>
        <w:tc>
          <w:tcPr>
            <w:tcW w:w="1584" w:type="dxa"/>
            <w:vAlign w:val="bottom"/>
          </w:tcPr>
          <w:p w14:paraId="76DD83F5" w14:textId="7A7FF257" w:rsidR="00AA5413" w:rsidRPr="00751136" w:rsidRDefault="00AA5413" w:rsidP="0003043C">
            <w:pPr>
              <w:ind w:right="-72"/>
              <w:jc w:val="right"/>
              <w:rPr>
                <w:color w:val="auto"/>
                <w:cs/>
                <w:lang w:val="en-GB"/>
              </w:rPr>
            </w:pPr>
            <w:r w:rsidRPr="00751136">
              <w:rPr>
                <w:color w:val="auto"/>
                <w:lang w:val="en-GB"/>
              </w:rPr>
              <w:t>277,900</w:t>
            </w:r>
          </w:p>
        </w:tc>
      </w:tr>
      <w:tr w:rsidR="00AA5413" w:rsidRPr="00751136" w14:paraId="00163D66" w14:textId="03BF50CD" w:rsidTr="00AA5413">
        <w:tc>
          <w:tcPr>
            <w:tcW w:w="5812" w:type="dxa"/>
            <w:vAlign w:val="bottom"/>
          </w:tcPr>
          <w:p w14:paraId="770B2358" w14:textId="07307CD4" w:rsidR="00AA5413" w:rsidRPr="00751136" w:rsidRDefault="00AA5413" w:rsidP="0003043C">
            <w:pPr>
              <w:pStyle w:val="BodyTextIndent"/>
              <w:tabs>
                <w:tab w:val="left" w:pos="972"/>
              </w:tabs>
              <w:ind w:left="-101"/>
              <w:jc w:val="left"/>
              <w:rPr>
                <w:color w:val="auto"/>
                <w:szCs w:val="20"/>
              </w:rPr>
            </w:pPr>
            <w:r w:rsidRPr="00751136">
              <w:rPr>
                <w:color w:val="auto"/>
                <w:szCs w:val="20"/>
              </w:rPr>
              <w:t>Lease modification</w:t>
            </w:r>
          </w:p>
        </w:tc>
        <w:tc>
          <w:tcPr>
            <w:tcW w:w="1622" w:type="dxa"/>
          </w:tcPr>
          <w:p w14:paraId="6EE4533A" w14:textId="321287A8" w:rsidR="00AA5413" w:rsidRPr="00751136" w:rsidRDefault="00AA5413" w:rsidP="0003043C">
            <w:pPr>
              <w:ind w:right="-72"/>
              <w:jc w:val="right"/>
              <w:rPr>
                <w:color w:val="auto"/>
                <w:lang w:val="en-GB"/>
              </w:rPr>
            </w:pPr>
            <w:r w:rsidRPr="00751136">
              <w:rPr>
                <w:color w:val="auto"/>
                <w:lang w:val="en-GB"/>
              </w:rPr>
              <w:t>-</w:t>
            </w:r>
          </w:p>
        </w:tc>
        <w:tc>
          <w:tcPr>
            <w:tcW w:w="1584" w:type="dxa"/>
            <w:vAlign w:val="bottom"/>
          </w:tcPr>
          <w:p w14:paraId="22F08475" w14:textId="02B18267" w:rsidR="00AA5413" w:rsidRPr="00751136" w:rsidRDefault="00AA5413" w:rsidP="0003043C">
            <w:pPr>
              <w:ind w:right="-72"/>
              <w:jc w:val="right"/>
              <w:rPr>
                <w:color w:val="auto"/>
                <w:lang w:val="en-GB"/>
              </w:rPr>
            </w:pPr>
            <w:r w:rsidRPr="00751136">
              <w:rPr>
                <w:color w:val="auto"/>
                <w:lang w:val="en-GB"/>
              </w:rPr>
              <w:t>370,681,919</w:t>
            </w:r>
          </w:p>
        </w:tc>
      </w:tr>
      <w:tr w:rsidR="00AA5413" w:rsidRPr="00751136" w14:paraId="0364BE31" w14:textId="4B4CE8E1" w:rsidTr="00AA5413">
        <w:tc>
          <w:tcPr>
            <w:tcW w:w="5812" w:type="dxa"/>
            <w:vAlign w:val="bottom"/>
          </w:tcPr>
          <w:p w14:paraId="703E1634" w14:textId="503802C9" w:rsidR="00AA5413" w:rsidRPr="00751136" w:rsidRDefault="00AA5413" w:rsidP="0003043C">
            <w:pPr>
              <w:pStyle w:val="BodyTextIndent"/>
              <w:tabs>
                <w:tab w:val="left" w:pos="972"/>
              </w:tabs>
              <w:ind w:left="-101"/>
              <w:jc w:val="left"/>
              <w:rPr>
                <w:color w:val="auto"/>
                <w:spacing w:val="8"/>
                <w:szCs w:val="20"/>
              </w:rPr>
            </w:pPr>
            <w:bookmarkStart w:id="4" w:name="OLE_LINK3"/>
            <w:r w:rsidRPr="00751136">
              <w:rPr>
                <w:color w:val="auto"/>
                <w:szCs w:val="20"/>
              </w:rPr>
              <w:t>Initial direct costs</w:t>
            </w:r>
          </w:p>
        </w:tc>
        <w:tc>
          <w:tcPr>
            <w:tcW w:w="1622" w:type="dxa"/>
          </w:tcPr>
          <w:p w14:paraId="361648C8" w14:textId="55051F14" w:rsidR="00AA5413" w:rsidRPr="00751136" w:rsidRDefault="00AA5413" w:rsidP="0003043C">
            <w:pPr>
              <w:ind w:right="-72"/>
              <w:jc w:val="right"/>
              <w:rPr>
                <w:color w:val="auto"/>
                <w:lang w:val="en-GB"/>
              </w:rPr>
            </w:pPr>
            <w:r w:rsidRPr="00751136">
              <w:rPr>
                <w:color w:val="auto"/>
                <w:lang w:val="en-GB"/>
              </w:rPr>
              <w:t>1,999,979</w:t>
            </w:r>
          </w:p>
        </w:tc>
        <w:tc>
          <w:tcPr>
            <w:tcW w:w="1584" w:type="dxa"/>
            <w:vAlign w:val="bottom"/>
          </w:tcPr>
          <w:p w14:paraId="698DE3B0" w14:textId="4859BF8C" w:rsidR="00AA5413" w:rsidRPr="00751136" w:rsidRDefault="00AA5413" w:rsidP="0003043C">
            <w:pPr>
              <w:ind w:right="-72"/>
              <w:jc w:val="right"/>
              <w:rPr>
                <w:color w:val="auto"/>
                <w:lang w:val="en-GB"/>
              </w:rPr>
            </w:pPr>
            <w:r w:rsidRPr="00751136">
              <w:rPr>
                <w:color w:val="auto"/>
                <w:lang w:val="en-GB"/>
              </w:rPr>
              <w:t>600,743</w:t>
            </w:r>
          </w:p>
        </w:tc>
      </w:tr>
      <w:tr w:rsidR="00142FDE" w:rsidRPr="00751136" w14:paraId="7A218910" w14:textId="77777777" w:rsidTr="00AA5413">
        <w:tc>
          <w:tcPr>
            <w:tcW w:w="5812" w:type="dxa"/>
            <w:vAlign w:val="bottom"/>
          </w:tcPr>
          <w:p w14:paraId="76E0CF21" w14:textId="759CB4E0" w:rsidR="00142FDE" w:rsidRPr="00751136" w:rsidRDefault="00142FDE" w:rsidP="0003043C">
            <w:pPr>
              <w:pStyle w:val="BodyTextIndent"/>
              <w:tabs>
                <w:tab w:val="left" w:pos="972"/>
              </w:tabs>
              <w:ind w:left="-101"/>
              <w:jc w:val="left"/>
              <w:rPr>
                <w:color w:val="auto"/>
                <w:szCs w:val="20"/>
              </w:rPr>
            </w:pPr>
            <w:r w:rsidRPr="00751136">
              <w:rPr>
                <w:color w:val="auto"/>
                <w:szCs w:val="20"/>
              </w:rPr>
              <w:t>Gain (loss) from change in fair value of investments</w:t>
            </w:r>
          </w:p>
        </w:tc>
        <w:tc>
          <w:tcPr>
            <w:tcW w:w="1622" w:type="dxa"/>
          </w:tcPr>
          <w:p w14:paraId="29771622" w14:textId="77777777" w:rsidR="00142FDE" w:rsidRPr="00751136" w:rsidRDefault="00142FDE" w:rsidP="0003043C">
            <w:pPr>
              <w:ind w:right="-72"/>
              <w:jc w:val="right"/>
              <w:rPr>
                <w:color w:val="auto"/>
                <w:lang w:val="en-GB"/>
              </w:rPr>
            </w:pPr>
          </w:p>
        </w:tc>
        <w:tc>
          <w:tcPr>
            <w:tcW w:w="1584" w:type="dxa"/>
            <w:vAlign w:val="bottom"/>
          </w:tcPr>
          <w:p w14:paraId="5898D49E" w14:textId="77777777" w:rsidR="00142FDE" w:rsidRPr="00751136" w:rsidRDefault="00142FDE" w:rsidP="0003043C">
            <w:pPr>
              <w:ind w:right="-72"/>
              <w:jc w:val="right"/>
              <w:rPr>
                <w:color w:val="auto"/>
                <w:lang w:val="en-GB"/>
              </w:rPr>
            </w:pPr>
          </w:p>
        </w:tc>
      </w:tr>
      <w:tr w:rsidR="00AA5413" w:rsidRPr="00751136" w14:paraId="58626BFC" w14:textId="77777777" w:rsidTr="00AA5413">
        <w:tc>
          <w:tcPr>
            <w:tcW w:w="5812" w:type="dxa"/>
            <w:vAlign w:val="bottom"/>
          </w:tcPr>
          <w:p w14:paraId="4E221A46" w14:textId="483273F4" w:rsidR="00AA5413" w:rsidRPr="00751136" w:rsidRDefault="00142FDE" w:rsidP="0003043C">
            <w:pPr>
              <w:pStyle w:val="BodyTextIndent"/>
              <w:tabs>
                <w:tab w:val="left" w:pos="972"/>
              </w:tabs>
              <w:ind w:left="-101"/>
              <w:jc w:val="left"/>
              <w:rPr>
                <w:color w:val="auto"/>
                <w:szCs w:val="20"/>
              </w:rPr>
            </w:pPr>
            <w:r>
              <w:rPr>
                <w:rFonts w:cstheme="minorBidi" w:hint="cs"/>
                <w:color w:val="auto"/>
                <w:szCs w:val="20"/>
                <w:cs/>
              </w:rPr>
              <w:t xml:space="preserve">   </w:t>
            </w:r>
            <w:r w:rsidR="00345685" w:rsidRPr="00751136">
              <w:rPr>
                <w:color w:val="auto"/>
                <w:szCs w:val="20"/>
              </w:rPr>
              <w:t>in properties</w:t>
            </w:r>
          </w:p>
        </w:tc>
        <w:tc>
          <w:tcPr>
            <w:tcW w:w="1622" w:type="dxa"/>
          </w:tcPr>
          <w:p w14:paraId="78A8BE7C" w14:textId="53B79EC0" w:rsidR="00AA5413" w:rsidRPr="00751136" w:rsidRDefault="00614E78" w:rsidP="0003043C">
            <w:pPr>
              <w:ind w:right="-72"/>
              <w:jc w:val="right"/>
              <w:rPr>
                <w:color w:val="auto"/>
                <w:lang w:val="en-GB"/>
              </w:rPr>
            </w:pPr>
            <w:r w:rsidRPr="00751136">
              <w:rPr>
                <w:color w:val="auto"/>
                <w:lang w:val="en-GB"/>
              </w:rPr>
              <w:t>(21,934,872)</w:t>
            </w:r>
          </w:p>
        </w:tc>
        <w:tc>
          <w:tcPr>
            <w:tcW w:w="1584" w:type="dxa"/>
            <w:vAlign w:val="bottom"/>
          </w:tcPr>
          <w:p w14:paraId="0D56DCD4" w14:textId="0FF30237" w:rsidR="00AA5413" w:rsidRPr="00751136" w:rsidRDefault="00AA5413" w:rsidP="0003043C">
            <w:pPr>
              <w:ind w:right="-72"/>
              <w:jc w:val="right"/>
              <w:rPr>
                <w:color w:val="auto"/>
                <w:lang w:val="en-GB"/>
              </w:rPr>
            </w:pPr>
            <w:r w:rsidRPr="00751136">
              <w:rPr>
                <w:color w:val="auto"/>
                <w:lang w:val="en-GB"/>
              </w:rPr>
              <w:t>15,899,640</w:t>
            </w:r>
          </w:p>
        </w:tc>
      </w:tr>
      <w:tr w:rsidR="00AA5413" w:rsidRPr="00751136" w14:paraId="46894FDD" w14:textId="77777777" w:rsidTr="00AA5413">
        <w:tc>
          <w:tcPr>
            <w:tcW w:w="5812" w:type="dxa"/>
            <w:vAlign w:val="bottom"/>
          </w:tcPr>
          <w:p w14:paraId="58C5CCC8" w14:textId="2B312945" w:rsidR="00AA5413" w:rsidRPr="00751136" w:rsidRDefault="00AA5413" w:rsidP="0003043C">
            <w:pPr>
              <w:pStyle w:val="BodyTextIndent"/>
              <w:tabs>
                <w:tab w:val="left" w:pos="972"/>
              </w:tabs>
              <w:ind w:left="-101"/>
              <w:jc w:val="left"/>
              <w:rPr>
                <w:color w:val="auto"/>
                <w:szCs w:val="20"/>
              </w:rPr>
            </w:pPr>
            <w:r w:rsidRPr="00751136">
              <w:rPr>
                <w:color w:val="auto"/>
                <w:szCs w:val="20"/>
              </w:rPr>
              <w:t>Transfer from fund</w:t>
            </w:r>
          </w:p>
        </w:tc>
        <w:tc>
          <w:tcPr>
            <w:tcW w:w="1622" w:type="dxa"/>
            <w:tcBorders>
              <w:bottom w:val="single" w:sz="4" w:space="0" w:color="auto"/>
            </w:tcBorders>
          </w:tcPr>
          <w:p w14:paraId="38009CF7" w14:textId="6C0C0F7B" w:rsidR="00AA5413" w:rsidRPr="00751136" w:rsidRDefault="00614E78" w:rsidP="0003043C">
            <w:pPr>
              <w:ind w:right="-72"/>
              <w:jc w:val="right"/>
              <w:rPr>
                <w:color w:val="auto"/>
                <w:lang w:val="en-GB"/>
              </w:rPr>
            </w:pPr>
            <w:r w:rsidRPr="00751136">
              <w:rPr>
                <w:color w:val="auto"/>
                <w:lang w:val="en-GB"/>
              </w:rPr>
              <w:t>-</w:t>
            </w:r>
          </w:p>
        </w:tc>
        <w:tc>
          <w:tcPr>
            <w:tcW w:w="1584" w:type="dxa"/>
            <w:tcBorders>
              <w:bottom w:val="single" w:sz="4" w:space="0" w:color="auto"/>
            </w:tcBorders>
            <w:vAlign w:val="bottom"/>
          </w:tcPr>
          <w:p w14:paraId="374E0101" w14:textId="7CA09853" w:rsidR="00AA5413" w:rsidRPr="00751136" w:rsidRDefault="00AA5413" w:rsidP="0003043C">
            <w:pPr>
              <w:ind w:right="-72"/>
              <w:jc w:val="right"/>
              <w:rPr>
                <w:color w:val="auto"/>
                <w:lang w:val="en-GB"/>
              </w:rPr>
            </w:pPr>
            <w:r w:rsidRPr="00751136">
              <w:rPr>
                <w:color w:val="auto"/>
                <w:lang w:val="en-GB"/>
              </w:rPr>
              <w:t>10,908,006,205</w:t>
            </w:r>
          </w:p>
        </w:tc>
      </w:tr>
      <w:bookmarkEnd w:id="4"/>
      <w:tr w:rsidR="009F10C8" w:rsidRPr="00751136" w14:paraId="2F7F4937" w14:textId="64CA8297" w:rsidTr="00AA5413">
        <w:tc>
          <w:tcPr>
            <w:tcW w:w="5812" w:type="dxa"/>
            <w:vAlign w:val="bottom"/>
          </w:tcPr>
          <w:p w14:paraId="4AE11CD1" w14:textId="77777777" w:rsidR="009F10C8" w:rsidRPr="00751136" w:rsidRDefault="009F10C8" w:rsidP="0003043C">
            <w:pPr>
              <w:tabs>
                <w:tab w:val="right" w:pos="7200"/>
                <w:tab w:val="right" w:pos="9000"/>
              </w:tabs>
              <w:ind w:left="-101"/>
              <w:rPr>
                <w:color w:val="auto"/>
                <w:lang w:val="th-TH" w:eastAsia="th-TH"/>
              </w:rPr>
            </w:pPr>
          </w:p>
        </w:tc>
        <w:tc>
          <w:tcPr>
            <w:tcW w:w="1622" w:type="dxa"/>
            <w:tcBorders>
              <w:top w:val="single" w:sz="4" w:space="0" w:color="auto"/>
            </w:tcBorders>
          </w:tcPr>
          <w:p w14:paraId="33BCEBD0" w14:textId="77777777" w:rsidR="009F10C8" w:rsidRPr="00751136" w:rsidRDefault="009F10C8" w:rsidP="0003043C">
            <w:pPr>
              <w:tabs>
                <w:tab w:val="right" w:pos="7200"/>
                <w:tab w:val="right" w:pos="9000"/>
              </w:tabs>
              <w:ind w:left="-101"/>
              <w:rPr>
                <w:color w:val="auto"/>
                <w:lang w:val="th-TH" w:eastAsia="th-TH"/>
              </w:rPr>
            </w:pPr>
          </w:p>
        </w:tc>
        <w:tc>
          <w:tcPr>
            <w:tcW w:w="1584" w:type="dxa"/>
            <w:tcBorders>
              <w:top w:val="single" w:sz="4" w:space="0" w:color="auto"/>
            </w:tcBorders>
            <w:vAlign w:val="bottom"/>
          </w:tcPr>
          <w:p w14:paraId="67A13BC8" w14:textId="0A929077" w:rsidR="009F10C8" w:rsidRPr="00751136" w:rsidRDefault="009F10C8" w:rsidP="0003043C">
            <w:pPr>
              <w:tabs>
                <w:tab w:val="right" w:pos="7200"/>
                <w:tab w:val="right" w:pos="9000"/>
              </w:tabs>
              <w:ind w:left="-101"/>
              <w:rPr>
                <w:color w:val="auto"/>
                <w:lang w:val="th-TH" w:eastAsia="th-TH"/>
              </w:rPr>
            </w:pPr>
          </w:p>
        </w:tc>
      </w:tr>
      <w:tr w:rsidR="009F10C8" w:rsidRPr="00751136" w14:paraId="1CA98764" w14:textId="5F125779" w:rsidTr="00AA5413">
        <w:tc>
          <w:tcPr>
            <w:tcW w:w="5812" w:type="dxa"/>
            <w:vAlign w:val="bottom"/>
          </w:tcPr>
          <w:p w14:paraId="4128897D" w14:textId="7EADC51D" w:rsidR="009F10C8" w:rsidRPr="00751136" w:rsidRDefault="009F10C8" w:rsidP="0003043C">
            <w:pPr>
              <w:pStyle w:val="BodyTextIndent"/>
              <w:tabs>
                <w:tab w:val="left" w:pos="972"/>
              </w:tabs>
              <w:ind w:left="-101"/>
              <w:jc w:val="left"/>
              <w:rPr>
                <w:color w:val="auto"/>
                <w:szCs w:val="20"/>
              </w:rPr>
            </w:pPr>
            <w:r w:rsidRPr="00751136">
              <w:rPr>
                <w:color w:val="auto"/>
                <w:szCs w:val="20"/>
              </w:rPr>
              <w:t>Ending balance</w:t>
            </w:r>
          </w:p>
        </w:tc>
        <w:tc>
          <w:tcPr>
            <w:tcW w:w="1622" w:type="dxa"/>
            <w:tcBorders>
              <w:bottom w:val="single" w:sz="4" w:space="0" w:color="auto"/>
            </w:tcBorders>
          </w:tcPr>
          <w:p w14:paraId="7146CE1B" w14:textId="021FC8BF" w:rsidR="009F10C8" w:rsidRPr="00751136" w:rsidRDefault="00AA5413" w:rsidP="00751136">
            <w:pPr>
              <w:ind w:right="-72"/>
              <w:jc w:val="right"/>
              <w:rPr>
                <w:color w:val="auto"/>
                <w:lang w:val="en-GB"/>
              </w:rPr>
            </w:pPr>
            <w:r w:rsidRPr="00751136">
              <w:rPr>
                <w:color w:val="auto"/>
                <w:lang w:val="en-GB"/>
              </w:rPr>
              <w:t>11,484,358,682</w:t>
            </w:r>
          </w:p>
        </w:tc>
        <w:tc>
          <w:tcPr>
            <w:tcW w:w="1584" w:type="dxa"/>
            <w:tcBorders>
              <w:bottom w:val="single" w:sz="4" w:space="0" w:color="auto"/>
            </w:tcBorders>
            <w:vAlign w:val="bottom"/>
          </w:tcPr>
          <w:p w14:paraId="7235FFF6" w14:textId="71AF6872" w:rsidR="009F10C8" w:rsidRPr="00751136" w:rsidRDefault="009F10C8" w:rsidP="00751136">
            <w:pPr>
              <w:ind w:right="-72"/>
              <w:jc w:val="right"/>
              <w:rPr>
                <w:color w:val="auto"/>
                <w:cs/>
                <w:lang w:val="en-GB"/>
              </w:rPr>
            </w:pPr>
            <w:r w:rsidRPr="00751136">
              <w:rPr>
                <w:color w:val="auto"/>
                <w:lang w:val="en-GB"/>
              </w:rPr>
              <w:t>11,295,466,407</w:t>
            </w:r>
          </w:p>
        </w:tc>
      </w:tr>
      <w:bookmarkEnd w:id="3"/>
    </w:tbl>
    <w:p w14:paraId="699735E0" w14:textId="77777777" w:rsidR="00107B6E" w:rsidRPr="00751136" w:rsidRDefault="00107B6E" w:rsidP="0003043C">
      <w:pPr>
        <w:pStyle w:val="ListParagraph"/>
        <w:ind w:left="0"/>
        <w:jc w:val="both"/>
        <w:rPr>
          <w:color w:val="auto"/>
          <w:spacing w:val="-6"/>
        </w:rPr>
      </w:pPr>
    </w:p>
    <w:p w14:paraId="2AF224B0" w14:textId="4F9D6F45" w:rsidR="00DD7281" w:rsidRPr="00751136" w:rsidRDefault="00DD7281" w:rsidP="0003043C">
      <w:pPr>
        <w:pStyle w:val="ListParagraph"/>
        <w:ind w:left="0"/>
        <w:jc w:val="both"/>
        <w:rPr>
          <w:color w:val="auto"/>
        </w:rPr>
      </w:pPr>
      <w:r w:rsidRPr="00751136">
        <w:rPr>
          <w:color w:val="auto"/>
        </w:rPr>
        <w:t>The sensitivity analysis for significant assumptions used in investment</w:t>
      </w:r>
      <w:r w:rsidR="005B30BA" w:rsidRPr="00751136">
        <w:rPr>
          <w:color w:val="auto"/>
        </w:rPr>
        <w:t>s</w:t>
      </w:r>
      <w:r w:rsidRPr="00751136">
        <w:rPr>
          <w:color w:val="auto"/>
        </w:rPr>
        <w:t xml:space="preserve"> in properties valuation can be </w:t>
      </w:r>
      <w:proofErr w:type="spellStart"/>
      <w:r w:rsidRPr="00751136">
        <w:rPr>
          <w:color w:val="auto"/>
        </w:rPr>
        <w:t>analysed</w:t>
      </w:r>
      <w:proofErr w:type="spellEnd"/>
      <w:r w:rsidRPr="00751136">
        <w:rPr>
          <w:color w:val="auto"/>
        </w:rPr>
        <w:t xml:space="preserve"> as follow:</w:t>
      </w:r>
    </w:p>
    <w:p w14:paraId="267632F4" w14:textId="77777777" w:rsidR="001B03E7" w:rsidRPr="00751136" w:rsidRDefault="001B03E7" w:rsidP="0003043C">
      <w:pPr>
        <w:pStyle w:val="ListParagraph"/>
        <w:ind w:left="0"/>
        <w:jc w:val="both"/>
        <w:rPr>
          <w:color w:val="auto"/>
        </w:rPr>
      </w:pPr>
    </w:p>
    <w:tbl>
      <w:tblPr>
        <w:tblW w:w="9018" w:type="dxa"/>
        <w:tblInd w:w="108" w:type="dxa"/>
        <w:tblLayout w:type="fixed"/>
        <w:tblLook w:val="0000" w:firstRow="0" w:lastRow="0" w:firstColumn="0" w:lastColumn="0" w:noHBand="0" w:noVBand="0"/>
      </w:tblPr>
      <w:tblGrid>
        <w:gridCol w:w="5850"/>
        <w:gridCol w:w="1584"/>
        <w:gridCol w:w="1584"/>
      </w:tblGrid>
      <w:tr w:rsidR="00ED6365" w:rsidRPr="00751136" w14:paraId="78C3EE89" w14:textId="77777777" w:rsidTr="00846D43">
        <w:tc>
          <w:tcPr>
            <w:tcW w:w="5850" w:type="dxa"/>
            <w:vAlign w:val="bottom"/>
          </w:tcPr>
          <w:p w14:paraId="1F8D8B44" w14:textId="77777777" w:rsidR="00DD7281" w:rsidRPr="00751136" w:rsidRDefault="00DD7281" w:rsidP="0003043C">
            <w:pPr>
              <w:pStyle w:val="BodyTextIndent"/>
              <w:ind w:left="-101"/>
              <w:jc w:val="left"/>
              <w:rPr>
                <w:color w:val="auto"/>
                <w:szCs w:val="20"/>
                <w:lang w:val="en-GB"/>
              </w:rPr>
            </w:pPr>
          </w:p>
        </w:tc>
        <w:tc>
          <w:tcPr>
            <w:tcW w:w="1584" w:type="dxa"/>
            <w:vAlign w:val="bottom"/>
          </w:tcPr>
          <w:p w14:paraId="14247444" w14:textId="77777777" w:rsidR="00DD7281" w:rsidRPr="00751136" w:rsidRDefault="00DD7281" w:rsidP="0003043C">
            <w:pPr>
              <w:pStyle w:val="BodyTextIndent"/>
              <w:ind w:left="0" w:right="-72"/>
              <w:jc w:val="right"/>
              <w:rPr>
                <w:b/>
                <w:bCs/>
                <w:color w:val="auto"/>
                <w:szCs w:val="20"/>
              </w:rPr>
            </w:pPr>
          </w:p>
          <w:p w14:paraId="558D0FE5" w14:textId="77777777" w:rsidR="00DD7281" w:rsidRPr="00751136" w:rsidRDefault="00DD7281" w:rsidP="0003043C">
            <w:pPr>
              <w:pStyle w:val="BodyTextIndent"/>
              <w:ind w:left="0" w:right="-72"/>
              <w:jc w:val="right"/>
              <w:rPr>
                <w:b/>
                <w:bCs/>
                <w:color w:val="auto"/>
                <w:szCs w:val="20"/>
              </w:rPr>
            </w:pPr>
          </w:p>
          <w:p w14:paraId="1FA7B111" w14:textId="77777777" w:rsidR="00DD7281" w:rsidRPr="00751136" w:rsidRDefault="00DD7281" w:rsidP="0003043C">
            <w:pPr>
              <w:pStyle w:val="BodyTextIndent"/>
              <w:ind w:left="0" w:right="-72"/>
              <w:jc w:val="right"/>
              <w:rPr>
                <w:b/>
                <w:bCs/>
                <w:color w:val="auto"/>
                <w:szCs w:val="20"/>
              </w:rPr>
            </w:pPr>
          </w:p>
          <w:p w14:paraId="7F4089BA" w14:textId="77777777" w:rsidR="00DD7281" w:rsidRPr="00751136" w:rsidRDefault="00DD7281" w:rsidP="0003043C">
            <w:pPr>
              <w:pStyle w:val="BodyTextIndent"/>
              <w:ind w:left="0" w:right="-72"/>
              <w:jc w:val="right"/>
              <w:rPr>
                <w:b/>
                <w:bCs/>
                <w:color w:val="auto"/>
                <w:szCs w:val="20"/>
              </w:rPr>
            </w:pPr>
            <w:r w:rsidRPr="00751136">
              <w:rPr>
                <w:b/>
                <w:bCs/>
                <w:color w:val="auto"/>
                <w:szCs w:val="20"/>
              </w:rPr>
              <w:t>Change in</w:t>
            </w:r>
          </w:p>
        </w:tc>
        <w:tc>
          <w:tcPr>
            <w:tcW w:w="1584" w:type="dxa"/>
            <w:vAlign w:val="bottom"/>
          </w:tcPr>
          <w:p w14:paraId="69F09962" w14:textId="77777777" w:rsidR="00DD7281" w:rsidRPr="00751136" w:rsidRDefault="00DD7281" w:rsidP="0003043C">
            <w:pPr>
              <w:pStyle w:val="BodyTextIndent"/>
              <w:ind w:left="0" w:right="-72"/>
              <w:jc w:val="right"/>
              <w:rPr>
                <w:b/>
                <w:bCs/>
                <w:color w:val="auto"/>
                <w:szCs w:val="20"/>
              </w:rPr>
            </w:pPr>
            <w:r w:rsidRPr="00751136">
              <w:rPr>
                <w:b/>
                <w:bCs/>
                <w:color w:val="auto"/>
                <w:szCs w:val="20"/>
              </w:rPr>
              <w:t xml:space="preserve">Change in </w:t>
            </w:r>
          </w:p>
          <w:p w14:paraId="4E392555" w14:textId="77777777" w:rsidR="00DD7281" w:rsidRPr="00751136" w:rsidRDefault="00DD7281" w:rsidP="0003043C">
            <w:pPr>
              <w:pStyle w:val="BodyTextIndent"/>
              <w:ind w:left="0" w:right="-72"/>
              <w:jc w:val="right"/>
              <w:rPr>
                <w:b/>
                <w:bCs/>
                <w:color w:val="auto"/>
                <w:szCs w:val="20"/>
              </w:rPr>
            </w:pPr>
            <w:r w:rsidRPr="00751136">
              <w:rPr>
                <w:b/>
                <w:bCs/>
                <w:color w:val="auto"/>
                <w:szCs w:val="20"/>
              </w:rPr>
              <w:t xml:space="preserve">fair value </w:t>
            </w:r>
          </w:p>
          <w:p w14:paraId="015A1AD4" w14:textId="77777777" w:rsidR="00DD7281" w:rsidRPr="00751136" w:rsidRDefault="00DD7281" w:rsidP="0003043C">
            <w:pPr>
              <w:pStyle w:val="BodyTextIndent"/>
              <w:ind w:left="0" w:right="-72"/>
              <w:jc w:val="right"/>
              <w:rPr>
                <w:b/>
                <w:bCs/>
                <w:color w:val="auto"/>
                <w:szCs w:val="20"/>
              </w:rPr>
            </w:pPr>
            <w:r w:rsidRPr="00751136">
              <w:rPr>
                <w:b/>
                <w:bCs/>
                <w:color w:val="auto"/>
                <w:szCs w:val="20"/>
              </w:rPr>
              <w:t>increase (decrease)</w:t>
            </w:r>
          </w:p>
        </w:tc>
      </w:tr>
      <w:tr w:rsidR="00ED6365" w:rsidRPr="00751136" w14:paraId="26A892A8" w14:textId="77777777" w:rsidTr="00846D43">
        <w:tc>
          <w:tcPr>
            <w:tcW w:w="5850" w:type="dxa"/>
            <w:vAlign w:val="bottom"/>
          </w:tcPr>
          <w:p w14:paraId="0FA2EE77" w14:textId="77777777" w:rsidR="00DD7281" w:rsidRPr="00751136" w:rsidRDefault="00DD7281" w:rsidP="0003043C">
            <w:pPr>
              <w:pStyle w:val="BodyTextIndent"/>
              <w:ind w:left="-101"/>
              <w:jc w:val="left"/>
              <w:rPr>
                <w:color w:val="auto"/>
                <w:szCs w:val="20"/>
                <w:lang w:val="en-GB"/>
              </w:rPr>
            </w:pPr>
          </w:p>
        </w:tc>
        <w:tc>
          <w:tcPr>
            <w:tcW w:w="1584" w:type="dxa"/>
            <w:tcBorders>
              <w:bottom w:val="single" w:sz="4" w:space="0" w:color="auto"/>
            </w:tcBorders>
            <w:vAlign w:val="bottom"/>
          </w:tcPr>
          <w:p w14:paraId="78A3116F" w14:textId="77777777" w:rsidR="00DD7281" w:rsidRPr="00751136" w:rsidRDefault="00DD7281" w:rsidP="0003043C">
            <w:pPr>
              <w:pStyle w:val="BodyTextIndent"/>
              <w:ind w:left="0" w:right="-72"/>
              <w:jc w:val="right"/>
              <w:rPr>
                <w:b/>
                <w:bCs/>
                <w:color w:val="auto"/>
                <w:szCs w:val="20"/>
              </w:rPr>
            </w:pPr>
            <w:r w:rsidRPr="00751136">
              <w:rPr>
                <w:b/>
                <w:bCs/>
                <w:color w:val="auto"/>
                <w:szCs w:val="20"/>
              </w:rPr>
              <w:t>assumption</w:t>
            </w:r>
          </w:p>
        </w:tc>
        <w:tc>
          <w:tcPr>
            <w:tcW w:w="1584" w:type="dxa"/>
            <w:tcBorders>
              <w:bottom w:val="single" w:sz="4" w:space="0" w:color="auto"/>
            </w:tcBorders>
            <w:vAlign w:val="bottom"/>
          </w:tcPr>
          <w:p w14:paraId="22E0D719" w14:textId="30964894" w:rsidR="00DD7281" w:rsidRPr="00751136" w:rsidRDefault="00DD7281" w:rsidP="0003043C">
            <w:pPr>
              <w:pStyle w:val="BodyTextIndent"/>
              <w:ind w:left="0" w:right="-72"/>
              <w:jc w:val="right"/>
              <w:rPr>
                <w:color w:val="auto"/>
                <w:szCs w:val="20"/>
                <w:lang w:val="en-GB"/>
              </w:rPr>
            </w:pPr>
            <w:r w:rsidRPr="00751136">
              <w:rPr>
                <w:b/>
                <w:bCs/>
                <w:color w:val="auto"/>
                <w:szCs w:val="20"/>
              </w:rPr>
              <w:t>Baht</w:t>
            </w:r>
          </w:p>
        </w:tc>
      </w:tr>
      <w:tr w:rsidR="00ED6365" w:rsidRPr="00751136" w14:paraId="24FD9E8A" w14:textId="77777777" w:rsidTr="00846D43">
        <w:tc>
          <w:tcPr>
            <w:tcW w:w="5850" w:type="dxa"/>
            <w:vAlign w:val="bottom"/>
          </w:tcPr>
          <w:p w14:paraId="2C0EEFD4" w14:textId="77777777" w:rsidR="00DD7281" w:rsidRPr="00751136" w:rsidRDefault="00DD7281" w:rsidP="0003043C">
            <w:pPr>
              <w:tabs>
                <w:tab w:val="right" w:pos="7200"/>
                <w:tab w:val="right" w:pos="9000"/>
              </w:tabs>
              <w:ind w:left="-101"/>
              <w:rPr>
                <w:color w:val="auto"/>
                <w:lang w:val="th-TH" w:eastAsia="th-TH"/>
              </w:rPr>
            </w:pPr>
          </w:p>
        </w:tc>
        <w:tc>
          <w:tcPr>
            <w:tcW w:w="1584" w:type="dxa"/>
            <w:tcBorders>
              <w:top w:val="single" w:sz="4" w:space="0" w:color="auto"/>
            </w:tcBorders>
            <w:vAlign w:val="bottom"/>
          </w:tcPr>
          <w:p w14:paraId="541365B7" w14:textId="77777777" w:rsidR="00DD7281" w:rsidRPr="00751136" w:rsidRDefault="00DD7281" w:rsidP="0003043C">
            <w:pPr>
              <w:tabs>
                <w:tab w:val="right" w:pos="7200"/>
                <w:tab w:val="right" w:pos="9000"/>
              </w:tabs>
              <w:ind w:left="-101"/>
              <w:rPr>
                <w:color w:val="auto"/>
                <w:lang w:val="th-TH" w:eastAsia="th-TH"/>
              </w:rPr>
            </w:pPr>
          </w:p>
        </w:tc>
        <w:tc>
          <w:tcPr>
            <w:tcW w:w="1584" w:type="dxa"/>
            <w:tcBorders>
              <w:top w:val="single" w:sz="4" w:space="0" w:color="auto"/>
            </w:tcBorders>
            <w:vAlign w:val="bottom"/>
          </w:tcPr>
          <w:p w14:paraId="0732052F" w14:textId="77777777" w:rsidR="00DD7281" w:rsidRPr="00751136" w:rsidRDefault="00DD7281" w:rsidP="0003043C">
            <w:pPr>
              <w:tabs>
                <w:tab w:val="right" w:pos="7200"/>
                <w:tab w:val="right" w:pos="9000"/>
              </w:tabs>
              <w:ind w:left="-101"/>
              <w:rPr>
                <w:color w:val="auto"/>
                <w:lang w:val="th-TH" w:eastAsia="th-TH"/>
              </w:rPr>
            </w:pPr>
          </w:p>
        </w:tc>
      </w:tr>
      <w:tr w:rsidR="00B83E7D" w:rsidRPr="00751136" w14:paraId="75E07D9B" w14:textId="77777777" w:rsidTr="00E8481F">
        <w:tc>
          <w:tcPr>
            <w:tcW w:w="5850" w:type="dxa"/>
            <w:vAlign w:val="bottom"/>
          </w:tcPr>
          <w:p w14:paraId="30B7CC08" w14:textId="77777777" w:rsidR="00B83E7D" w:rsidRPr="00751136" w:rsidRDefault="00B83E7D" w:rsidP="0003043C">
            <w:pPr>
              <w:pStyle w:val="BodyTextIndent"/>
              <w:ind w:left="-101"/>
              <w:jc w:val="left"/>
              <w:rPr>
                <w:color w:val="auto"/>
                <w:szCs w:val="20"/>
              </w:rPr>
            </w:pPr>
            <w:r w:rsidRPr="00751136">
              <w:rPr>
                <w:color w:val="auto"/>
                <w:szCs w:val="20"/>
              </w:rPr>
              <w:t>Discount rate</w:t>
            </w:r>
          </w:p>
        </w:tc>
        <w:tc>
          <w:tcPr>
            <w:tcW w:w="1584" w:type="dxa"/>
            <w:vAlign w:val="bottom"/>
          </w:tcPr>
          <w:p w14:paraId="161B15B7" w14:textId="19800F18" w:rsidR="00B83E7D" w:rsidRPr="00751136" w:rsidRDefault="00B83E7D" w:rsidP="0003043C">
            <w:pPr>
              <w:pStyle w:val="BodyTextIndent"/>
              <w:ind w:left="0" w:right="-72"/>
              <w:jc w:val="right"/>
              <w:rPr>
                <w:color w:val="auto"/>
                <w:szCs w:val="20"/>
                <w:lang w:val="en-GB"/>
              </w:rPr>
            </w:pPr>
            <w:r w:rsidRPr="00751136">
              <w:rPr>
                <w:color w:val="auto"/>
                <w:szCs w:val="20"/>
                <w:lang w:val="en-GB"/>
              </w:rPr>
              <w:t>Increase 1%</w:t>
            </w:r>
          </w:p>
        </w:tc>
        <w:tc>
          <w:tcPr>
            <w:tcW w:w="1584" w:type="dxa"/>
          </w:tcPr>
          <w:p w14:paraId="281CD9E9" w14:textId="07A071C9" w:rsidR="00B83E7D" w:rsidRPr="00751136" w:rsidRDefault="00B83E7D" w:rsidP="00D95718">
            <w:pPr>
              <w:pStyle w:val="BodyTextIndent"/>
              <w:ind w:left="0" w:right="-72"/>
              <w:jc w:val="right"/>
              <w:rPr>
                <w:color w:val="auto"/>
                <w:szCs w:val="20"/>
                <w:lang w:val="en-GB"/>
              </w:rPr>
            </w:pPr>
            <w:r w:rsidRPr="00751136">
              <w:rPr>
                <w:szCs w:val="20"/>
              </w:rPr>
              <w:t>(311,000,000)</w:t>
            </w:r>
          </w:p>
        </w:tc>
      </w:tr>
      <w:tr w:rsidR="00B83E7D" w:rsidRPr="00751136" w14:paraId="02C65F74" w14:textId="77777777" w:rsidTr="00E8481F">
        <w:tc>
          <w:tcPr>
            <w:tcW w:w="5850" w:type="dxa"/>
            <w:vAlign w:val="bottom"/>
          </w:tcPr>
          <w:p w14:paraId="403FABD4" w14:textId="77777777" w:rsidR="00B83E7D" w:rsidRPr="00751136" w:rsidRDefault="00B83E7D" w:rsidP="0003043C">
            <w:pPr>
              <w:pStyle w:val="BodyTextIndent"/>
              <w:ind w:left="-101"/>
              <w:jc w:val="left"/>
              <w:rPr>
                <w:color w:val="auto"/>
                <w:szCs w:val="20"/>
              </w:rPr>
            </w:pPr>
            <w:r w:rsidRPr="00751136">
              <w:rPr>
                <w:color w:val="auto"/>
                <w:szCs w:val="20"/>
              </w:rPr>
              <w:t>Discount rate</w:t>
            </w:r>
          </w:p>
        </w:tc>
        <w:tc>
          <w:tcPr>
            <w:tcW w:w="1584" w:type="dxa"/>
            <w:vAlign w:val="bottom"/>
          </w:tcPr>
          <w:p w14:paraId="65AFBC0E" w14:textId="370B0241" w:rsidR="00B83E7D" w:rsidRPr="00751136" w:rsidRDefault="00B83E7D" w:rsidP="0003043C">
            <w:pPr>
              <w:pStyle w:val="BodyTextIndent"/>
              <w:ind w:left="0" w:right="-72"/>
              <w:jc w:val="right"/>
              <w:rPr>
                <w:color w:val="auto"/>
                <w:szCs w:val="20"/>
              </w:rPr>
            </w:pPr>
            <w:r w:rsidRPr="00751136">
              <w:rPr>
                <w:color w:val="auto"/>
                <w:szCs w:val="20"/>
              </w:rPr>
              <w:t>Decrease 1%</w:t>
            </w:r>
          </w:p>
        </w:tc>
        <w:tc>
          <w:tcPr>
            <w:tcW w:w="1584" w:type="dxa"/>
          </w:tcPr>
          <w:p w14:paraId="21CE4F56" w14:textId="161187DC" w:rsidR="00B83E7D" w:rsidRPr="00751136" w:rsidRDefault="00B83E7D" w:rsidP="00D95718">
            <w:pPr>
              <w:pStyle w:val="BodyTextIndent"/>
              <w:ind w:left="0" w:right="-72"/>
              <w:jc w:val="right"/>
              <w:rPr>
                <w:color w:val="auto"/>
                <w:szCs w:val="20"/>
              </w:rPr>
            </w:pPr>
            <w:r w:rsidRPr="00751136">
              <w:rPr>
                <w:szCs w:val="20"/>
              </w:rPr>
              <w:t>348,000,000</w:t>
            </w:r>
          </w:p>
        </w:tc>
      </w:tr>
      <w:tr w:rsidR="00B83E7D" w:rsidRPr="00751136" w14:paraId="0485F74D" w14:textId="77777777" w:rsidTr="00E8481F">
        <w:tc>
          <w:tcPr>
            <w:tcW w:w="5850" w:type="dxa"/>
            <w:vAlign w:val="bottom"/>
          </w:tcPr>
          <w:p w14:paraId="0F488404" w14:textId="77777777" w:rsidR="00B83E7D" w:rsidRPr="00751136" w:rsidRDefault="00B83E7D" w:rsidP="0003043C">
            <w:pPr>
              <w:pStyle w:val="BodyTextIndent"/>
              <w:ind w:left="-101"/>
              <w:jc w:val="left"/>
              <w:rPr>
                <w:color w:val="auto"/>
                <w:szCs w:val="20"/>
              </w:rPr>
            </w:pPr>
            <w:r w:rsidRPr="00751136">
              <w:rPr>
                <w:color w:val="auto"/>
                <w:szCs w:val="20"/>
              </w:rPr>
              <w:t>Rental growth rate</w:t>
            </w:r>
          </w:p>
        </w:tc>
        <w:tc>
          <w:tcPr>
            <w:tcW w:w="1584" w:type="dxa"/>
            <w:vAlign w:val="bottom"/>
          </w:tcPr>
          <w:p w14:paraId="6BFD3AA3" w14:textId="5B7335B7" w:rsidR="00B83E7D" w:rsidRPr="00751136" w:rsidRDefault="00B83E7D" w:rsidP="0003043C">
            <w:pPr>
              <w:pStyle w:val="BodyTextIndent"/>
              <w:ind w:left="0" w:right="-72"/>
              <w:jc w:val="right"/>
              <w:rPr>
                <w:color w:val="auto"/>
                <w:szCs w:val="20"/>
                <w:lang w:val="en-GB"/>
              </w:rPr>
            </w:pPr>
            <w:r w:rsidRPr="00751136">
              <w:rPr>
                <w:color w:val="auto"/>
                <w:szCs w:val="20"/>
                <w:lang w:val="en-GB"/>
              </w:rPr>
              <w:t>Increase 1%</w:t>
            </w:r>
          </w:p>
        </w:tc>
        <w:tc>
          <w:tcPr>
            <w:tcW w:w="1584" w:type="dxa"/>
          </w:tcPr>
          <w:p w14:paraId="6CBF5DFF" w14:textId="42E191EE" w:rsidR="00B83E7D" w:rsidRPr="00751136" w:rsidRDefault="00B83E7D" w:rsidP="00D95718">
            <w:pPr>
              <w:pStyle w:val="BodyTextIndent"/>
              <w:ind w:left="0" w:right="-72"/>
              <w:jc w:val="right"/>
              <w:rPr>
                <w:color w:val="auto"/>
                <w:szCs w:val="20"/>
                <w:lang w:val="en-GB"/>
              </w:rPr>
            </w:pPr>
            <w:r w:rsidRPr="00751136">
              <w:t>644,000,000</w:t>
            </w:r>
          </w:p>
        </w:tc>
      </w:tr>
      <w:tr w:rsidR="00B83E7D" w:rsidRPr="00751136" w14:paraId="59B6165C" w14:textId="77777777" w:rsidTr="00E8481F">
        <w:tc>
          <w:tcPr>
            <w:tcW w:w="5850" w:type="dxa"/>
            <w:vAlign w:val="bottom"/>
          </w:tcPr>
          <w:p w14:paraId="226CFB99" w14:textId="77777777" w:rsidR="00B83E7D" w:rsidRPr="00751136" w:rsidRDefault="00B83E7D" w:rsidP="0003043C">
            <w:pPr>
              <w:pStyle w:val="BodyTextIndent"/>
              <w:ind w:left="-101"/>
              <w:jc w:val="left"/>
              <w:rPr>
                <w:color w:val="auto"/>
                <w:szCs w:val="20"/>
              </w:rPr>
            </w:pPr>
            <w:r w:rsidRPr="00751136">
              <w:rPr>
                <w:color w:val="auto"/>
                <w:szCs w:val="20"/>
              </w:rPr>
              <w:t>Rental growth rate</w:t>
            </w:r>
          </w:p>
        </w:tc>
        <w:tc>
          <w:tcPr>
            <w:tcW w:w="1584" w:type="dxa"/>
            <w:vAlign w:val="bottom"/>
          </w:tcPr>
          <w:p w14:paraId="49FCE004" w14:textId="64F07FF7" w:rsidR="00B83E7D" w:rsidRPr="00751136" w:rsidRDefault="00B83E7D" w:rsidP="0003043C">
            <w:pPr>
              <w:pStyle w:val="BodyTextIndent"/>
              <w:ind w:left="0" w:right="-72"/>
              <w:jc w:val="right"/>
              <w:rPr>
                <w:color w:val="auto"/>
                <w:szCs w:val="20"/>
              </w:rPr>
            </w:pPr>
            <w:r w:rsidRPr="00751136">
              <w:rPr>
                <w:color w:val="auto"/>
                <w:szCs w:val="20"/>
              </w:rPr>
              <w:t>Decrease 1%</w:t>
            </w:r>
          </w:p>
        </w:tc>
        <w:tc>
          <w:tcPr>
            <w:tcW w:w="1584" w:type="dxa"/>
          </w:tcPr>
          <w:p w14:paraId="052AE594" w14:textId="62A82828" w:rsidR="00B83E7D" w:rsidRPr="00751136" w:rsidRDefault="00B83E7D" w:rsidP="00D95718">
            <w:pPr>
              <w:pStyle w:val="BodyTextIndent"/>
              <w:ind w:left="0" w:right="-72"/>
              <w:jc w:val="right"/>
              <w:rPr>
                <w:color w:val="auto"/>
                <w:szCs w:val="20"/>
              </w:rPr>
            </w:pPr>
            <w:r w:rsidRPr="00751136">
              <w:t>(584,000,000)</w:t>
            </w:r>
          </w:p>
        </w:tc>
      </w:tr>
    </w:tbl>
    <w:p w14:paraId="3AB3C25D" w14:textId="77777777" w:rsidR="00BE7AA3" w:rsidRPr="00751136" w:rsidRDefault="00BE7AA3" w:rsidP="0003043C">
      <w:pPr>
        <w:pStyle w:val="ListParagraph"/>
        <w:ind w:left="0"/>
        <w:jc w:val="both"/>
        <w:rPr>
          <w:color w:val="auto"/>
        </w:rPr>
      </w:pPr>
    </w:p>
    <w:p w14:paraId="44EA8C71" w14:textId="3D920A76" w:rsidR="00FF2B4E" w:rsidRPr="00751136" w:rsidRDefault="00564C72" w:rsidP="0003043C">
      <w:pPr>
        <w:pStyle w:val="ListParagraph"/>
        <w:ind w:left="0"/>
        <w:jc w:val="both"/>
        <w:rPr>
          <w:color w:val="auto"/>
        </w:rPr>
      </w:pPr>
      <w:r w:rsidRPr="00751136">
        <w:rPr>
          <w:color w:val="auto"/>
        </w:rPr>
        <w:br w:type="page"/>
      </w:r>
      <w:r w:rsidR="0096043C" w:rsidRPr="00751136">
        <w:rPr>
          <w:color w:val="auto"/>
        </w:rPr>
        <w:lastRenderedPageBreak/>
        <w:t>Income and expenses</w:t>
      </w:r>
      <w:r w:rsidR="00FF2B4E" w:rsidRPr="00751136">
        <w:rPr>
          <w:color w:val="auto"/>
        </w:rPr>
        <w:t xml:space="preserve"> related to </w:t>
      </w:r>
      <w:r w:rsidR="000F69CC" w:rsidRPr="00751136">
        <w:rPr>
          <w:color w:val="auto"/>
        </w:rPr>
        <w:t>investments in properties at fair value</w:t>
      </w:r>
      <w:r w:rsidR="00FF2B4E" w:rsidRPr="00751136">
        <w:rPr>
          <w:color w:val="auto"/>
        </w:rPr>
        <w:t xml:space="preserve"> are as follows:</w:t>
      </w:r>
    </w:p>
    <w:p w14:paraId="752DEBA8" w14:textId="77777777" w:rsidR="00924BF8" w:rsidRPr="00751136" w:rsidRDefault="00924BF8" w:rsidP="0003043C">
      <w:pPr>
        <w:pStyle w:val="ListParagraph"/>
        <w:ind w:left="0"/>
        <w:jc w:val="both"/>
        <w:rPr>
          <w:color w:val="auto"/>
        </w:rPr>
      </w:pPr>
    </w:p>
    <w:tbl>
      <w:tblPr>
        <w:tblW w:w="9022" w:type="dxa"/>
        <w:tblInd w:w="108" w:type="dxa"/>
        <w:tblLayout w:type="fixed"/>
        <w:tblLook w:val="0000" w:firstRow="0" w:lastRow="0" w:firstColumn="0" w:lastColumn="0" w:noHBand="0" w:noVBand="0"/>
      </w:tblPr>
      <w:tblGrid>
        <w:gridCol w:w="5602"/>
        <w:gridCol w:w="1584"/>
        <w:gridCol w:w="1836"/>
      </w:tblGrid>
      <w:tr w:rsidR="00AF16D1" w:rsidRPr="00751136" w14:paraId="6ACD2CF3" w14:textId="77777777" w:rsidTr="0003043C">
        <w:tc>
          <w:tcPr>
            <w:tcW w:w="5602" w:type="dxa"/>
            <w:vAlign w:val="bottom"/>
          </w:tcPr>
          <w:p w14:paraId="2C54209E" w14:textId="77777777" w:rsidR="00AF16D1" w:rsidRPr="00751136" w:rsidRDefault="00AF16D1" w:rsidP="0003043C">
            <w:pPr>
              <w:pStyle w:val="BodyTextIndent"/>
              <w:ind w:left="-87"/>
              <w:jc w:val="left"/>
              <w:rPr>
                <w:color w:val="auto"/>
                <w:szCs w:val="20"/>
                <w:lang w:val="en-GB"/>
              </w:rPr>
            </w:pPr>
          </w:p>
        </w:tc>
        <w:tc>
          <w:tcPr>
            <w:tcW w:w="1584" w:type="dxa"/>
            <w:vAlign w:val="bottom"/>
          </w:tcPr>
          <w:p w14:paraId="32741C26" w14:textId="77777777" w:rsidR="00AF16D1" w:rsidRPr="00751136" w:rsidRDefault="00AF16D1" w:rsidP="0003043C">
            <w:pPr>
              <w:pStyle w:val="BodyTextIndent"/>
              <w:ind w:left="0" w:right="-72"/>
              <w:jc w:val="right"/>
              <w:rPr>
                <w:b/>
                <w:bCs/>
                <w:color w:val="auto"/>
                <w:szCs w:val="20"/>
                <w:lang w:val="en-GB" w:eastAsia="th-TH"/>
              </w:rPr>
            </w:pPr>
          </w:p>
        </w:tc>
        <w:tc>
          <w:tcPr>
            <w:tcW w:w="1836" w:type="dxa"/>
            <w:vAlign w:val="bottom"/>
          </w:tcPr>
          <w:p w14:paraId="4CDCB9E8" w14:textId="77777777" w:rsidR="0007536A" w:rsidRPr="00751136" w:rsidRDefault="00AF16D1" w:rsidP="0003043C">
            <w:pPr>
              <w:pStyle w:val="BodyTextIndent"/>
              <w:ind w:left="-75" w:right="-72"/>
              <w:jc w:val="right"/>
              <w:rPr>
                <w:b/>
                <w:bCs/>
                <w:color w:val="auto"/>
                <w:szCs w:val="20"/>
                <w:lang w:val="en-GB"/>
              </w:rPr>
            </w:pPr>
            <w:r w:rsidRPr="00751136">
              <w:rPr>
                <w:b/>
                <w:bCs/>
                <w:color w:val="auto"/>
                <w:szCs w:val="20"/>
                <w:lang w:val="en-GB"/>
              </w:rPr>
              <w:t xml:space="preserve">For the </w:t>
            </w:r>
          </w:p>
          <w:p w14:paraId="7630CC01" w14:textId="77777777" w:rsidR="00385679" w:rsidRPr="00751136" w:rsidRDefault="00AF16D1" w:rsidP="0003043C">
            <w:pPr>
              <w:pStyle w:val="BodyTextIndent"/>
              <w:ind w:left="-75" w:right="-72"/>
              <w:jc w:val="right"/>
              <w:rPr>
                <w:b/>
                <w:bCs/>
                <w:color w:val="auto"/>
                <w:szCs w:val="20"/>
                <w:lang w:val="en-GB"/>
              </w:rPr>
            </w:pPr>
            <w:r w:rsidRPr="00751136">
              <w:rPr>
                <w:b/>
                <w:bCs/>
                <w:color w:val="auto"/>
                <w:szCs w:val="20"/>
                <w:lang w:val="en-GB"/>
              </w:rPr>
              <w:t>period</w:t>
            </w:r>
            <w:r w:rsidRPr="00751136">
              <w:rPr>
                <w:b/>
                <w:bCs/>
                <w:szCs w:val="28"/>
                <w:lang w:val="en-GB"/>
              </w:rPr>
              <w:t xml:space="preserve"> </w:t>
            </w:r>
            <w:r w:rsidRPr="00751136">
              <w:rPr>
                <w:b/>
                <w:bCs/>
                <w:color w:val="auto"/>
                <w:szCs w:val="20"/>
                <w:lang w:val="en-GB"/>
              </w:rPr>
              <w:t xml:space="preserve">from </w:t>
            </w:r>
          </w:p>
          <w:p w14:paraId="00AB12B7" w14:textId="38E64D50" w:rsidR="0007536A" w:rsidRPr="00751136" w:rsidRDefault="00AF16D1" w:rsidP="0003043C">
            <w:pPr>
              <w:pStyle w:val="BodyTextIndent"/>
              <w:ind w:left="-75" w:right="-72"/>
              <w:jc w:val="right"/>
              <w:rPr>
                <w:b/>
                <w:bCs/>
                <w:szCs w:val="28"/>
                <w:lang w:val="en-GB"/>
              </w:rPr>
            </w:pPr>
            <w:r w:rsidRPr="00751136">
              <w:rPr>
                <w:b/>
                <w:bCs/>
                <w:color w:val="auto"/>
                <w:szCs w:val="20"/>
                <w:lang w:val="en-GB"/>
              </w:rPr>
              <w:t>22 August 2024</w:t>
            </w:r>
            <w:r w:rsidRPr="00751136">
              <w:rPr>
                <w:b/>
                <w:bCs/>
                <w:szCs w:val="28"/>
                <w:lang w:val="en-GB"/>
              </w:rPr>
              <w:t xml:space="preserve"> </w:t>
            </w:r>
          </w:p>
          <w:p w14:paraId="2B68B3F9" w14:textId="5E410D60" w:rsidR="00AF16D1" w:rsidRPr="00751136" w:rsidRDefault="00AF16D1" w:rsidP="0003043C">
            <w:pPr>
              <w:pStyle w:val="BodyTextIndent"/>
              <w:ind w:left="-75" w:right="-72"/>
              <w:jc w:val="right"/>
              <w:rPr>
                <w:b/>
                <w:bCs/>
                <w:color w:val="auto"/>
                <w:szCs w:val="20"/>
                <w:lang w:val="en-GB" w:eastAsia="th-TH"/>
              </w:rPr>
            </w:pPr>
            <w:r w:rsidRPr="00751136">
              <w:rPr>
                <w:b/>
                <w:bCs/>
                <w:color w:val="auto"/>
                <w:szCs w:val="20"/>
                <w:lang w:val="en-GB"/>
              </w:rPr>
              <w:t xml:space="preserve">to 31 December  </w:t>
            </w:r>
          </w:p>
        </w:tc>
      </w:tr>
      <w:tr w:rsidR="009F10C8" w:rsidRPr="00751136" w14:paraId="7F8C669D" w14:textId="086DA0BB" w:rsidTr="0003043C">
        <w:tc>
          <w:tcPr>
            <w:tcW w:w="5602" w:type="dxa"/>
            <w:vAlign w:val="bottom"/>
          </w:tcPr>
          <w:p w14:paraId="1BBC5391" w14:textId="77777777" w:rsidR="009F10C8" w:rsidRPr="00751136" w:rsidRDefault="009F10C8" w:rsidP="0003043C">
            <w:pPr>
              <w:pStyle w:val="BodyTextIndent"/>
              <w:ind w:left="-87"/>
              <w:jc w:val="left"/>
              <w:rPr>
                <w:color w:val="auto"/>
                <w:szCs w:val="20"/>
                <w:lang w:val="en-GB"/>
              </w:rPr>
            </w:pPr>
          </w:p>
        </w:tc>
        <w:tc>
          <w:tcPr>
            <w:tcW w:w="1584" w:type="dxa"/>
            <w:vAlign w:val="bottom"/>
          </w:tcPr>
          <w:p w14:paraId="6FF548B3" w14:textId="6B9E6FAE" w:rsidR="009F10C8" w:rsidRPr="00751136" w:rsidRDefault="009F10C8" w:rsidP="0003043C">
            <w:pPr>
              <w:pStyle w:val="BodyTextIndent"/>
              <w:ind w:left="0" w:right="-72"/>
              <w:jc w:val="right"/>
              <w:rPr>
                <w:b/>
                <w:bCs/>
                <w:color w:val="auto"/>
                <w:szCs w:val="20"/>
                <w:lang w:val="en-GB" w:eastAsia="th-TH"/>
              </w:rPr>
            </w:pPr>
            <w:r w:rsidRPr="00751136">
              <w:rPr>
                <w:b/>
                <w:bCs/>
                <w:color w:val="auto"/>
                <w:szCs w:val="20"/>
                <w:lang w:val="en-GB" w:eastAsia="th-TH"/>
              </w:rPr>
              <w:t>2025</w:t>
            </w:r>
          </w:p>
        </w:tc>
        <w:tc>
          <w:tcPr>
            <w:tcW w:w="1836" w:type="dxa"/>
            <w:vAlign w:val="bottom"/>
          </w:tcPr>
          <w:p w14:paraId="53A1C195" w14:textId="127A1145"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2024</w:t>
            </w:r>
          </w:p>
        </w:tc>
      </w:tr>
      <w:tr w:rsidR="009F10C8" w:rsidRPr="00751136" w14:paraId="4B242437" w14:textId="6FB8F806" w:rsidTr="0003043C">
        <w:tc>
          <w:tcPr>
            <w:tcW w:w="5602" w:type="dxa"/>
            <w:vAlign w:val="bottom"/>
          </w:tcPr>
          <w:p w14:paraId="48498E0B" w14:textId="77777777" w:rsidR="009F10C8" w:rsidRPr="00751136" w:rsidRDefault="009F10C8" w:rsidP="0003043C">
            <w:pPr>
              <w:pStyle w:val="BodyTextIndent"/>
              <w:ind w:left="-87"/>
              <w:jc w:val="left"/>
              <w:rPr>
                <w:color w:val="auto"/>
                <w:szCs w:val="20"/>
                <w:lang w:val="en-GB"/>
              </w:rPr>
            </w:pPr>
          </w:p>
        </w:tc>
        <w:tc>
          <w:tcPr>
            <w:tcW w:w="1584" w:type="dxa"/>
            <w:tcBorders>
              <w:bottom w:val="single" w:sz="4" w:space="0" w:color="auto"/>
            </w:tcBorders>
            <w:vAlign w:val="bottom"/>
          </w:tcPr>
          <w:p w14:paraId="1410810D" w14:textId="382F65D1"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Baht</w:t>
            </w:r>
          </w:p>
        </w:tc>
        <w:tc>
          <w:tcPr>
            <w:tcW w:w="1836" w:type="dxa"/>
            <w:tcBorders>
              <w:bottom w:val="single" w:sz="4" w:space="0" w:color="auto"/>
            </w:tcBorders>
            <w:vAlign w:val="bottom"/>
          </w:tcPr>
          <w:p w14:paraId="19E6ED23" w14:textId="2FF2E38E" w:rsidR="009F10C8" w:rsidRPr="00751136" w:rsidRDefault="009F10C8" w:rsidP="0003043C">
            <w:pPr>
              <w:pStyle w:val="BodyTextIndent"/>
              <w:ind w:left="0" w:right="-72"/>
              <w:jc w:val="right"/>
              <w:rPr>
                <w:color w:val="auto"/>
                <w:szCs w:val="20"/>
                <w:lang w:val="en-GB"/>
              </w:rPr>
            </w:pPr>
            <w:r w:rsidRPr="00751136">
              <w:rPr>
                <w:b/>
                <w:bCs/>
                <w:color w:val="auto"/>
                <w:szCs w:val="20"/>
              </w:rPr>
              <w:t>Baht</w:t>
            </w:r>
          </w:p>
        </w:tc>
      </w:tr>
      <w:tr w:rsidR="009F10C8" w:rsidRPr="00751136" w14:paraId="35BB25F2" w14:textId="4C5FE137" w:rsidTr="0003043C">
        <w:tc>
          <w:tcPr>
            <w:tcW w:w="5602" w:type="dxa"/>
            <w:vAlign w:val="bottom"/>
          </w:tcPr>
          <w:p w14:paraId="448E3D47" w14:textId="77777777" w:rsidR="009F10C8" w:rsidRPr="00751136" w:rsidRDefault="009F10C8" w:rsidP="0003043C">
            <w:pPr>
              <w:pStyle w:val="BodyTextIndent"/>
              <w:ind w:left="-87"/>
              <w:jc w:val="left"/>
              <w:rPr>
                <w:color w:val="auto"/>
                <w:szCs w:val="20"/>
                <w:lang w:val="en-GB"/>
              </w:rPr>
            </w:pPr>
          </w:p>
        </w:tc>
        <w:tc>
          <w:tcPr>
            <w:tcW w:w="1584" w:type="dxa"/>
            <w:tcBorders>
              <w:top w:val="single" w:sz="4" w:space="0" w:color="auto"/>
            </w:tcBorders>
          </w:tcPr>
          <w:p w14:paraId="4BE6A592" w14:textId="77777777" w:rsidR="009F10C8" w:rsidRPr="00751136" w:rsidRDefault="009F10C8" w:rsidP="0003043C">
            <w:pPr>
              <w:pStyle w:val="BodyTextIndent"/>
              <w:ind w:left="0" w:right="-72"/>
              <w:jc w:val="right"/>
              <w:rPr>
                <w:color w:val="auto"/>
                <w:szCs w:val="20"/>
                <w:lang w:val="en-GB"/>
              </w:rPr>
            </w:pPr>
          </w:p>
        </w:tc>
        <w:tc>
          <w:tcPr>
            <w:tcW w:w="1836" w:type="dxa"/>
            <w:tcBorders>
              <w:top w:val="single" w:sz="4" w:space="0" w:color="auto"/>
            </w:tcBorders>
            <w:vAlign w:val="bottom"/>
          </w:tcPr>
          <w:p w14:paraId="49935F48" w14:textId="5833879E" w:rsidR="009F10C8" w:rsidRPr="00751136" w:rsidRDefault="009F10C8" w:rsidP="0003043C">
            <w:pPr>
              <w:pStyle w:val="BodyTextIndent"/>
              <w:ind w:left="0" w:right="-72"/>
              <w:jc w:val="right"/>
              <w:rPr>
                <w:color w:val="auto"/>
                <w:szCs w:val="20"/>
                <w:lang w:val="en-GB"/>
              </w:rPr>
            </w:pPr>
          </w:p>
        </w:tc>
      </w:tr>
      <w:tr w:rsidR="009F10C8" w:rsidRPr="00751136" w14:paraId="3563F6B7" w14:textId="30A784DA" w:rsidTr="0003043C">
        <w:tc>
          <w:tcPr>
            <w:tcW w:w="5602" w:type="dxa"/>
            <w:vAlign w:val="bottom"/>
          </w:tcPr>
          <w:p w14:paraId="67AB981E" w14:textId="7A4AF6E0" w:rsidR="009F10C8" w:rsidRPr="00751136" w:rsidRDefault="009F10C8" w:rsidP="0003043C">
            <w:pPr>
              <w:pStyle w:val="BodyTextIndent"/>
              <w:ind w:left="-87"/>
              <w:jc w:val="left"/>
              <w:rPr>
                <w:color w:val="auto"/>
                <w:szCs w:val="20"/>
              </w:rPr>
            </w:pPr>
            <w:r w:rsidRPr="00751136">
              <w:rPr>
                <w:color w:val="auto"/>
                <w:szCs w:val="20"/>
              </w:rPr>
              <w:t>Rental and service income</w:t>
            </w:r>
          </w:p>
        </w:tc>
        <w:tc>
          <w:tcPr>
            <w:tcW w:w="1584" w:type="dxa"/>
          </w:tcPr>
          <w:p w14:paraId="174E1F90" w14:textId="350C29A6" w:rsidR="009F10C8" w:rsidRPr="00751136" w:rsidRDefault="008C5E64" w:rsidP="00722BB0">
            <w:pPr>
              <w:ind w:right="-72"/>
              <w:jc w:val="right"/>
              <w:rPr>
                <w:color w:val="auto"/>
                <w:lang w:val="en-GB"/>
              </w:rPr>
            </w:pPr>
            <w:r w:rsidRPr="00751136">
              <w:rPr>
                <w:color w:val="auto"/>
                <w:lang w:val="en-GB"/>
              </w:rPr>
              <w:t>996,137,877</w:t>
            </w:r>
          </w:p>
        </w:tc>
        <w:tc>
          <w:tcPr>
            <w:tcW w:w="1836" w:type="dxa"/>
            <w:vAlign w:val="bottom"/>
          </w:tcPr>
          <w:p w14:paraId="034CD3BF" w14:textId="6A6A9E77" w:rsidR="009F10C8" w:rsidRPr="00751136" w:rsidRDefault="009F10C8" w:rsidP="00722BB0">
            <w:pPr>
              <w:ind w:right="-72"/>
              <w:jc w:val="right"/>
              <w:rPr>
                <w:color w:val="auto"/>
                <w:cs/>
                <w:lang w:val="en-GB"/>
              </w:rPr>
            </w:pPr>
            <w:r w:rsidRPr="00751136">
              <w:rPr>
                <w:color w:val="auto"/>
                <w:lang w:val="en-GB"/>
              </w:rPr>
              <w:t>254,457,989</w:t>
            </w:r>
          </w:p>
        </w:tc>
      </w:tr>
      <w:tr w:rsidR="009F10C8" w:rsidRPr="00751136" w14:paraId="7AA8DE0E" w14:textId="1852FFD1" w:rsidTr="0003043C">
        <w:tc>
          <w:tcPr>
            <w:tcW w:w="5602" w:type="dxa"/>
            <w:vAlign w:val="bottom"/>
          </w:tcPr>
          <w:p w14:paraId="56FCAA64" w14:textId="2B19B191" w:rsidR="009F10C8" w:rsidRPr="00751136" w:rsidRDefault="009F10C8" w:rsidP="0003043C">
            <w:pPr>
              <w:pStyle w:val="BodyTextIndent"/>
              <w:tabs>
                <w:tab w:val="left" w:pos="972"/>
              </w:tabs>
              <w:ind w:left="-87"/>
              <w:jc w:val="left"/>
              <w:rPr>
                <w:color w:val="auto"/>
                <w:szCs w:val="20"/>
              </w:rPr>
            </w:pPr>
          </w:p>
        </w:tc>
        <w:tc>
          <w:tcPr>
            <w:tcW w:w="1584" w:type="dxa"/>
          </w:tcPr>
          <w:p w14:paraId="28A14AB4" w14:textId="77777777" w:rsidR="009F10C8" w:rsidRPr="00751136" w:rsidRDefault="009F10C8" w:rsidP="00722BB0">
            <w:pPr>
              <w:ind w:right="-72"/>
              <w:jc w:val="right"/>
              <w:rPr>
                <w:color w:val="auto"/>
                <w:cs/>
                <w:lang w:val="en-GB"/>
              </w:rPr>
            </w:pPr>
          </w:p>
        </w:tc>
        <w:tc>
          <w:tcPr>
            <w:tcW w:w="1836" w:type="dxa"/>
            <w:vAlign w:val="bottom"/>
          </w:tcPr>
          <w:p w14:paraId="426A14B3" w14:textId="2B1D931B" w:rsidR="009F10C8" w:rsidRPr="00751136" w:rsidRDefault="009F10C8" w:rsidP="00722BB0">
            <w:pPr>
              <w:ind w:right="-72"/>
              <w:jc w:val="right"/>
              <w:rPr>
                <w:color w:val="auto"/>
                <w:cs/>
                <w:lang w:val="en-GB"/>
              </w:rPr>
            </w:pPr>
          </w:p>
        </w:tc>
      </w:tr>
      <w:tr w:rsidR="009F10C8" w:rsidRPr="00751136" w14:paraId="7AE283F0" w14:textId="2295F0FB" w:rsidTr="0003043C">
        <w:tc>
          <w:tcPr>
            <w:tcW w:w="5602" w:type="dxa"/>
            <w:vAlign w:val="bottom"/>
          </w:tcPr>
          <w:p w14:paraId="4AC0DA71" w14:textId="25BCCBF9" w:rsidR="009F10C8" w:rsidRPr="00751136" w:rsidRDefault="009F10C8" w:rsidP="0003043C">
            <w:pPr>
              <w:pStyle w:val="BodyTextIndent"/>
              <w:ind w:left="-87"/>
              <w:jc w:val="left"/>
              <w:rPr>
                <w:color w:val="auto"/>
                <w:szCs w:val="20"/>
              </w:rPr>
            </w:pPr>
            <w:r w:rsidRPr="00751136">
              <w:rPr>
                <w:color w:val="auto"/>
                <w:szCs w:val="20"/>
              </w:rPr>
              <w:t>Direct operating expenses</w:t>
            </w:r>
          </w:p>
        </w:tc>
        <w:tc>
          <w:tcPr>
            <w:tcW w:w="1584" w:type="dxa"/>
          </w:tcPr>
          <w:p w14:paraId="0CC3880E" w14:textId="77777777" w:rsidR="009F10C8" w:rsidRPr="00751136" w:rsidRDefault="009F10C8" w:rsidP="00722BB0">
            <w:pPr>
              <w:ind w:right="-72"/>
              <w:jc w:val="right"/>
              <w:rPr>
                <w:color w:val="auto"/>
                <w:cs/>
                <w:lang w:val="en-GB"/>
              </w:rPr>
            </w:pPr>
          </w:p>
        </w:tc>
        <w:tc>
          <w:tcPr>
            <w:tcW w:w="1836" w:type="dxa"/>
            <w:vAlign w:val="bottom"/>
          </w:tcPr>
          <w:p w14:paraId="18BBE23A" w14:textId="4EBB9157" w:rsidR="009F10C8" w:rsidRPr="00751136" w:rsidRDefault="009F10C8" w:rsidP="00722BB0">
            <w:pPr>
              <w:ind w:right="-72"/>
              <w:jc w:val="right"/>
              <w:rPr>
                <w:color w:val="auto"/>
                <w:cs/>
                <w:lang w:val="en-GB"/>
              </w:rPr>
            </w:pPr>
          </w:p>
        </w:tc>
      </w:tr>
      <w:tr w:rsidR="009F10C8" w:rsidRPr="00751136" w14:paraId="2743637B" w14:textId="6152E13E" w:rsidTr="0003043C">
        <w:tc>
          <w:tcPr>
            <w:tcW w:w="5602" w:type="dxa"/>
            <w:vAlign w:val="bottom"/>
          </w:tcPr>
          <w:p w14:paraId="56B9CE6D" w14:textId="77777777" w:rsidR="009F10C8" w:rsidRPr="00751136" w:rsidRDefault="009F10C8" w:rsidP="0003043C">
            <w:pPr>
              <w:pStyle w:val="BodyTextIndent"/>
              <w:ind w:left="-87"/>
              <w:jc w:val="left"/>
              <w:rPr>
                <w:color w:val="auto"/>
                <w:szCs w:val="20"/>
              </w:rPr>
            </w:pPr>
          </w:p>
        </w:tc>
        <w:tc>
          <w:tcPr>
            <w:tcW w:w="1584" w:type="dxa"/>
          </w:tcPr>
          <w:p w14:paraId="7D44CCA0" w14:textId="77777777" w:rsidR="009F10C8" w:rsidRPr="00751136" w:rsidRDefault="009F10C8" w:rsidP="00722BB0">
            <w:pPr>
              <w:ind w:right="-72"/>
              <w:jc w:val="right"/>
              <w:rPr>
                <w:color w:val="auto"/>
                <w:cs/>
                <w:lang w:val="en-GB"/>
              </w:rPr>
            </w:pPr>
          </w:p>
        </w:tc>
        <w:tc>
          <w:tcPr>
            <w:tcW w:w="1836" w:type="dxa"/>
            <w:vAlign w:val="bottom"/>
          </w:tcPr>
          <w:p w14:paraId="443102C0" w14:textId="44474592" w:rsidR="009F10C8" w:rsidRPr="00751136" w:rsidRDefault="009F10C8" w:rsidP="00722BB0">
            <w:pPr>
              <w:ind w:right="-72"/>
              <w:jc w:val="right"/>
              <w:rPr>
                <w:color w:val="auto"/>
                <w:cs/>
                <w:lang w:val="en-GB"/>
              </w:rPr>
            </w:pPr>
          </w:p>
        </w:tc>
      </w:tr>
      <w:tr w:rsidR="008C5E64" w:rsidRPr="00751136" w14:paraId="210D550F" w14:textId="36066EF0" w:rsidTr="0003043C">
        <w:trPr>
          <w:trHeight w:val="227"/>
        </w:trPr>
        <w:tc>
          <w:tcPr>
            <w:tcW w:w="5602" w:type="dxa"/>
            <w:vAlign w:val="bottom"/>
          </w:tcPr>
          <w:p w14:paraId="05715959" w14:textId="7925D4CE" w:rsidR="008C5E64" w:rsidRPr="00751136" w:rsidRDefault="008C5E64" w:rsidP="0003043C">
            <w:pPr>
              <w:pStyle w:val="BodyTextIndent"/>
              <w:ind w:left="-87"/>
              <w:jc w:val="left"/>
              <w:rPr>
                <w:color w:val="auto"/>
                <w:szCs w:val="20"/>
              </w:rPr>
            </w:pPr>
            <w:r w:rsidRPr="00751136">
              <w:rPr>
                <w:color w:val="auto"/>
                <w:szCs w:val="20"/>
              </w:rPr>
              <w:t xml:space="preserve">   Property management fees</w:t>
            </w:r>
          </w:p>
        </w:tc>
        <w:tc>
          <w:tcPr>
            <w:tcW w:w="1584" w:type="dxa"/>
          </w:tcPr>
          <w:p w14:paraId="4BFCE071" w14:textId="4BC02F09" w:rsidR="008C5E64" w:rsidRPr="00751136" w:rsidRDefault="008C5E64" w:rsidP="00722BB0">
            <w:pPr>
              <w:ind w:right="-72"/>
              <w:jc w:val="right"/>
              <w:rPr>
                <w:color w:val="auto"/>
                <w:lang w:val="en-GB"/>
              </w:rPr>
            </w:pPr>
            <w:r w:rsidRPr="00751136">
              <w:t>92,677,133</w:t>
            </w:r>
          </w:p>
        </w:tc>
        <w:tc>
          <w:tcPr>
            <w:tcW w:w="1836" w:type="dxa"/>
            <w:vAlign w:val="bottom"/>
          </w:tcPr>
          <w:p w14:paraId="2C99BDA6" w14:textId="536B071E" w:rsidR="008C5E64" w:rsidRPr="00751136" w:rsidRDefault="008C5E64" w:rsidP="00722BB0">
            <w:pPr>
              <w:ind w:right="-72"/>
              <w:jc w:val="right"/>
              <w:rPr>
                <w:color w:val="auto"/>
                <w:cs/>
                <w:lang w:val="en-GB"/>
              </w:rPr>
            </w:pPr>
            <w:r w:rsidRPr="00751136">
              <w:rPr>
                <w:color w:val="auto"/>
                <w:lang w:val="en-GB"/>
              </w:rPr>
              <w:t>23,139,743</w:t>
            </w:r>
          </w:p>
        </w:tc>
      </w:tr>
      <w:tr w:rsidR="008C5E64" w:rsidRPr="00751136" w14:paraId="7FE526C9" w14:textId="77A1E2BF" w:rsidTr="0003043C">
        <w:trPr>
          <w:trHeight w:val="227"/>
        </w:trPr>
        <w:tc>
          <w:tcPr>
            <w:tcW w:w="5602" w:type="dxa"/>
            <w:vAlign w:val="bottom"/>
          </w:tcPr>
          <w:p w14:paraId="1027F989" w14:textId="6863B01D" w:rsidR="008C5E64" w:rsidRPr="00751136" w:rsidRDefault="008C5E64" w:rsidP="0003043C">
            <w:pPr>
              <w:pStyle w:val="BodyTextIndent"/>
              <w:ind w:left="-87"/>
              <w:jc w:val="left"/>
              <w:rPr>
                <w:color w:val="auto"/>
                <w:szCs w:val="20"/>
              </w:rPr>
            </w:pPr>
            <w:r w:rsidRPr="00751136">
              <w:rPr>
                <w:color w:val="auto"/>
                <w:szCs w:val="20"/>
              </w:rPr>
              <w:t xml:space="preserve">   Land</w:t>
            </w:r>
            <w:r w:rsidR="00371B10" w:rsidRPr="00751136">
              <w:rPr>
                <w:color w:val="auto"/>
                <w:szCs w:val="20"/>
              </w:rPr>
              <w:t>,</w:t>
            </w:r>
            <w:r w:rsidRPr="00751136">
              <w:rPr>
                <w:color w:val="auto"/>
                <w:szCs w:val="20"/>
              </w:rPr>
              <w:t xml:space="preserve"> building </w:t>
            </w:r>
            <w:r w:rsidR="00371B10" w:rsidRPr="00751136">
              <w:rPr>
                <w:color w:val="auto"/>
                <w:szCs w:val="20"/>
              </w:rPr>
              <w:t xml:space="preserve">and banner </w:t>
            </w:r>
            <w:r w:rsidRPr="00751136">
              <w:rPr>
                <w:color w:val="auto"/>
                <w:szCs w:val="20"/>
              </w:rPr>
              <w:t xml:space="preserve">tax expenses </w:t>
            </w:r>
          </w:p>
        </w:tc>
        <w:tc>
          <w:tcPr>
            <w:tcW w:w="1584" w:type="dxa"/>
          </w:tcPr>
          <w:p w14:paraId="5A6EB214" w14:textId="7B3AB11F" w:rsidR="008C5E64" w:rsidRPr="00751136" w:rsidRDefault="008C5E64" w:rsidP="00722BB0">
            <w:pPr>
              <w:ind w:right="-72"/>
              <w:jc w:val="right"/>
              <w:rPr>
                <w:color w:val="auto"/>
                <w:lang w:val="en-GB"/>
              </w:rPr>
            </w:pPr>
            <w:r w:rsidRPr="00751136">
              <w:t>7,495,159</w:t>
            </w:r>
          </w:p>
        </w:tc>
        <w:tc>
          <w:tcPr>
            <w:tcW w:w="1836" w:type="dxa"/>
            <w:vAlign w:val="bottom"/>
          </w:tcPr>
          <w:p w14:paraId="61AE89B1" w14:textId="3F3B2106" w:rsidR="008C5E64" w:rsidRPr="00751136" w:rsidRDefault="008C5E64" w:rsidP="00722BB0">
            <w:pPr>
              <w:ind w:right="-72"/>
              <w:jc w:val="right"/>
              <w:rPr>
                <w:color w:val="auto"/>
                <w:cs/>
                <w:lang w:val="en-GB"/>
              </w:rPr>
            </w:pPr>
            <w:r w:rsidRPr="00751136">
              <w:rPr>
                <w:color w:val="auto"/>
                <w:lang w:val="en-GB"/>
              </w:rPr>
              <w:t>1,864,350</w:t>
            </w:r>
          </w:p>
        </w:tc>
      </w:tr>
      <w:tr w:rsidR="008C5E64" w:rsidRPr="00751136" w14:paraId="067D8637" w14:textId="349D40F3" w:rsidTr="0003043C">
        <w:trPr>
          <w:trHeight w:val="227"/>
        </w:trPr>
        <w:tc>
          <w:tcPr>
            <w:tcW w:w="5602" w:type="dxa"/>
            <w:vAlign w:val="bottom"/>
          </w:tcPr>
          <w:p w14:paraId="3B5BC6C8" w14:textId="28180F94" w:rsidR="008C5E64" w:rsidRPr="00751136" w:rsidRDefault="008C5E64" w:rsidP="0003043C">
            <w:pPr>
              <w:pStyle w:val="BodyTextIndent"/>
              <w:ind w:left="-87"/>
              <w:jc w:val="left"/>
              <w:rPr>
                <w:color w:val="auto"/>
                <w:szCs w:val="20"/>
              </w:rPr>
            </w:pPr>
            <w:bookmarkStart w:id="5" w:name="OLE_LINK4"/>
            <w:r w:rsidRPr="00751136">
              <w:rPr>
                <w:color w:val="auto"/>
                <w:szCs w:val="20"/>
              </w:rPr>
              <w:t xml:space="preserve">   Marketing and administrative expenses</w:t>
            </w:r>
          </w:p>
        </w:tc>
        <w:tc>
          <w:tcPr>
            <w:tcW w:w="1584" w:type="dxa"/>
          </w:tcPr>
          <w:p w14:paraId="53E642C3" w14:textId="32B0BD99" w:rsidR="008C5E64" w:rsidRPr="00751136" w:rsidRDefault="008C5E64" w:rsidP="00722BB0">
            <w:pPr>
              <w:ind w:right="-72"/>
              <w:jc w:val="right"/>
              <w:rPr>
                <w:color w:val="auto"/>
                <w:lang w:val="en-GB"/>
              </w:rPr>
            </w:pPr>
            <w:r w:rsidRPr="00751136">
              <w:t>50,467,164</w:t>
            </w:r>
          </w:p>
        </w:tc>
        <w:tc>
          <w:tcPr>
            <w:tcW w:w="1836" w:type="dxa"/>
            <w:vAlign w:val="bottom"/>
          </w:tcPr>
          <w:p w14:paraId="6AD19CE9" w14:textId="63B28D5E" w:rsidR="008C5E64" w:rsidRPr="00751136" w:rsidRDefault="008C5E64" w:rsidP="00722BB0">
            <w:pPr>
              <w:ind w:right="-72"/>
              <w:jc w:val="right"/>
              <w:rPr>
                <w:color w:val="auto"/>
                <w:lang w:val="en-GB"/>
              </w:rPr>
            </w:pPr>
            <w:r w:rsidRPr="00751136">
              <w:rPr>
                <w:color w:val="auto"/>
                <w:lang w:val="en-GB"/>
              </w:rPr>
              <w:t>24,145,892</w:t>
            </w:r>
          </w:p>
        </w:tc>
      </w:tr>
      <w:bookmarkEnd w:id="5"/>
      <w:tr w:rsidR="008C5E64" w:rsidRPr="00751136" w14:paraId="212AA1F9" w14:textId="7510D5B2" w:rsidTr="0003043C">
        <w:trPr>
          <w:trHeight w:val="227"/>
        </w:trPr>
        <w:tc>
          <w:tcPr>
            <w:tcW w:w="5602" w:type="dxa"/>
            <w:vAlign w:val="bottom"/>
          </w:tcPr>
          <w:p w14:paraId="14F67E7A" w14:textId="653224DC" w:rsidR="008C5E64" w:rsidRPr="00751136" w:rsidRDefault="008C5E64" w:rsidP="0003043C">
            <w:pPr>
              <w:pStyle w:val="BodyTextIndent"/>
              <w:ind w:left="-87"/>
              <w:jc w:val="left"/>
              <w:rPr>
                <w:color w:val="auto"/>
                <w:szCs w:val="20"/>
              </w:rPr>
            </w:pPr>
            <w:r w:rsidRPr="00751136">
              <w:rPr>
                <w:color w:val="auto"/>
                <w:szCs w:val="20"/>
              </w:rPr>
              <w:t xml:space="preserve">   Insurance expenses</w:t>
            </w:r>
          </w:p>
        </w:tc>
        <w:tc>
          <w:tcPr>
            <w:tcW w:w="1584" w:type="dxa"/>
          </w:tcPr>
          <w:p w14:paraId="562ECEE8" w14:textId="07DEB244" w:rsidR="008C5E64" w:rsidRPr="00751136" w:rsidRDefault="008C5E64" w:rsidP="00722BB0">
            <w:pPr>
              <w:ind w:right="-72"/>
              <w:jc w:val="right"/>
              <w:rPr>
                <w:color w:val="auto"/>
                <w:lang w:val="en-GB"/>
              </w:rPr>
            </w:pPr>
            <w:r w:rsidRPr="00751136">
              <w:t>6,553,333</w:t>
            </w:r>
          </w:p>
        </w:tc>
        <w:tc>
          <w:tcPr>
            <w:tcW w:w="1836" w:type="dxa"/>
            <w:vAlign w:val="bottom"/>
          </w:tcPr>
          <w:p w14:paraId="031D96B0" w14:textId="439C1718" w:rsidR="008C5E64" w:rsidRPr="00751136" w:rsidRDefault="008C5E64" w:rsidP="00722BB0">
            <w:pPr>
              <w:ind w:right="-72"/>
              <w:jc w:val="right"/>
              <w:rPr>
                <w:color w:val="auto"/>
                <w:lang w:val="en-GB"/>
              </w:rPr>
            </w:pPr>
            <w:r w:rsidRPr="00751136">
              <w:rPr>
                <w:color w:val="auto"/>
                <w:lang w:val="en-GB"/>
              </w:rPr>
              <w:t>1,674,265</w:t>
            </w:r>
          </w:p>
        </w:tc>
      </w:tr>
    </w:tbl>
    <w:p w14:paraId="3FD20A2F" w14:textId="0EAB230F" w:rsidR="00924BF8" w:rsidRPr="00751136" w:rsidRDefault="00924BF8" w:rsidP="0003043C">
      <w:pPr>
        <w:tabs>
          <w:tab w:val="left" w:pos="540"/>
        </w:tabs>
        <w:rPr>
          <w:color w:val="auto"/>
        </w:rPr>
      </w:pPr>
    </w:p>
    <w:p w14:paraId="025F2BE0" w14:textId="77777777" w:rsidR="00564C72" w:rsidRPr="00751136" w:rsidRDefault="00564C72" w:rsidP="0003043C">
      <w:pPr>
        <w:tabs>
          <w:tab w:val="left" w:pos="540"/>
        </w:tabs>
        <w:rPr>
          <w:b/>
          <w:bCs/>
          <w:color w:val="auto"/>
        </w:rPr>
      </w:pPr>
    </w:p>
    <w:p w14:paraId="037A209C" w14:textId="1C65A45C" w:rsidR="00A8194C" w:rsidRPr="00751136" w:rsidRDefault="002324FE" w:rsidP="0003043C">
      <w:pPr>
        <w:tabs>
          <w:tab w:val="left" w:pos="540"/>
        </w:tabs>
        <w:rPr>
          <w:b/>
          <w:bCs/>
          <w:color w:val="auto"/>
        </w:rPr>
      </w:pPr>
      <w:r w:rsidRPr="00751136">
        <w:rPr>
          <w:b/>
          <w:bCs/>
          <w:color w:val="auto"/>
        </w:rPr>
        <w:t>7</w:t>
      </w:r>
      <w:r w:rsidR="008F50E0" w:rsidRPr="00751136">
        <w:rPr>
          <w:b/>
          <w:bCs/>
          <w:color w:val="auto"/>
        </w:rPr>
        <w:tab/>
      </w:r>
      <w:r w:rsidR="00A8194C" w:rsidRPr="00751136">
        <w:rPr>
          <w:b/>
          <w:bCs/>
          <w:color w:val="auto"/>
        </w:rPr>
        <w:t>Cash and cash equivalents</w:t>
      </w:r>
    </w:p>
    <w:p w14:paraId="7F41BDE2" w14:textId="77777777" w:rsidR="00A8194C" w:rsidRPr="00751136" w:rsidRDefault="00A8194C" w:rsidP="0003043C">
      <w:pPr>
        <w:jc w:val="both"/>
        <w:rPr>
          <w:color w:val="auto"/>
          <w:lang w:val="en-GB"/>
        </w:rPr>
      </w:pPr>
    </w:p>
    <w:p w14:paraId="6886D27E" w14:textId="7BB19247" w:rsidR="00A8194C" w:rsidRPr="00751136" w:rsidRDefault="00A8194C" w:rsidP="0003043C">
      <w:pPr>
        <w:pStyle w:val="BodyTextIndent"/>
        <w:tabs>
          <w:tab w:val="right" w:pos="9360"/>
        </w:tabs>
        <w:ind w:left="0"/>
        <w:rPr>
          <w:color w:val="auto"/>
          <w:szCs w:val="20"/>
          <w:lang w:val="en-GB"/>
        </w:rPr>
      </w:pPr>
      <w:r w:rsidRPr="00751136">
        <w:rPr>
          <w:color w:val="auto"/>
          <w:spacing w:val="-6"/>
          <w:szCs w:val="20"/>
          <w:lang w:val="en-GB"/>
        </w:rPr>
        <w:t xml:space="preserve">As at </w:t>
      </w:r>
      <w:r w:rsidR="001659E8" w:rsidRPr="00751136">
        <w:rPr>
          <w:color w:val="auto"/>
          <w:spacing w:val="-6"/>
          <w:szCs w:val="20"/>
          <w:lang w:val="en-GB"/>
        </w:rPr>
        <w:t>31</w:t>
      </w:r>
      <w:r w:rsidRPr="00751136">
        <w:rPr>
          <w:color w:val="auto"/>
          <w:spacing w:val="-6"/>
          <w:szCs w:val="20"/>
          <w:lang w:val="en-GB"/>
        </w:rPr>
        <w:t xml:space="preserve"> December, the </w:t>
      </w:r>
      <w:r w:rsidR="00165EA6" w:rsidRPr="00751136">
        <w:rPr>
          <w:color w:val="auto"/>
          <w:spacing w:val="-6"/>
          <w:szCs w:val="20"/>
          <w:lang w:val="en-GB"/>
        </w:rPr>
        <w:t>Trust</w:t>
      </w:r>
      <w:r w:rsidRPr="00751136">
        <w:rPr>
          <w:color w:val="auto"/>
          <w:spacing w:val="-6"/>
          <w:szCs w:val="20"/>
          <w:lang w:val="en-GB"/>
        </w:rPr>
        <w:t xml:space="preserve"> has the details of cash </w:t>
      </w:r>
      <w:r w:rsidRPr="00751136">
        <w:rPr>
          <w:color w:val="auto"/>
          <w:spacing w:val="-6"/>
          <w:szCs w:val="20"/>
        </w:rPr>
        <w:t>and cash equivalents</w:t>
      </w:r>
      <w:r w:rsidRPr="00751136">
        <w:rPr>
          <w:color w:val="auto"/>
          <w:szCs w:val="20"/>
          <w:lang w:val="en-GB"/>
        </w:rPr>
        <w:t xml:space="preserve"> as follows:</w:t>
      </w:r>
    </w:p>
    <w:p w14:paraId="17462AB4" w14:textId="002B92D0" w:rsidR="00A8194C" w:rsidRPr="00751136" w:rsidRDefault="00A8194C" w:rsidP="0003043C">
      <w:pPr>
        <w:jc w:val="both"/>
        <w:rPr>
          <w:color w:val="auto"/>
          <w:lang w:val="en-GB"/>
        </w:rPr>
      </w:pPr>
    </w:p>
    <w:tbl>
      <w:tblPr>
        <w:tblW w:w="9029" w:type="dxa"/>
        <w:tblInd w:w="108" w:type="dxa"/>
        <w:tblLayout w:type="fixed"/>
        <w:tblLook w:val="0000" w:firstRow="0" w:lastRow="0" w:firstColumn="0" w:lastColumn="0" w:noHBand="0" w:noVBand="0"/>
      </w:tblPr>
      <w:tblGrid>
        <w:gridCol w:w="3402"/>
        <w:gridCol w:w="1440"/>
        <w:gridCol w:w="1440"/>
        <w:gridCol w:w="1372"/>
        <w:gridCol w:w="1375"/>
      </w:tblGrid>
      <w:tr w:rsidR="00AB7494" w:rsidRPr="00751136" w14:paraId="0CBC2AE4" w14:textId="77777777" w:rsidTr="00C87D8E">
        <w:tc>
          <w:tcPr>
            <w:tcW w:w="3402" w:type="dxa"/>
            <w:vAlign w:val="bottom"/>
          </w:tcPr>
          <w:p w14:paraId="377C9EE1" w14:textId="77777777" w:rsidR="00AB7494" w:rsidRPr="00751136" w:rsidRDefault="00AB7494" w:rsidP="00AB7494">
            <w:pPr>
              <w:pStyle w:val="BodyTextIndent"/>
              <w:ind w:left="432"/>
              <w:jc w:val="left"/>
              <w:rPr>
                <w:color w:val="auto"/>
                <w:szCs w:val="20"/>
                <w:lang w:val="en-GB"/>
              </w:rPr>
            </w:pPr>
          </w:p>
        </w:tc>
        <w:tc>
          <w:tcPr>
            <w:tcW w:w="1440" w:type="dxa"/>
            <w:vAlign w:val="bottom"/>
          </w:tcPr>
          <w:p w14:paraId="42E7EFEF" w14:textId="77777777" w:rsidR="00AB7494" w:rsidRPr="00751136" w:rsidRDefault="00AB7494" w:rsidP="00AB7494">
            <w:pPr>
              <w:pStyle w:val="BodyTextIndent"/>
              <w:ind w:left="0" w:right="-72"/>
              <w:jc w:val="right"/>
              <w:rPr>
                <w:b/>
                <w:bCs/>
                <w:color w:val="auto"/>
                <w:szCs w:val="20"/>
                <w:lang w:val="en-GB" w:eastAsia="th-TH"/>
              </w:rPr>
            </w:pPr>
          </w:p>
        </w:tc>
        <w:tc>
          <w:tcPr>
            <w:tcW w:w="1440" w:type="dxa"/>
            <w:vAlign w:val="bottom"/>
          </w:tcPr>
          <w:p w14:paraId="56EC87A1" w14:textId="77777777" w:rsidR="00AB7494" w:rsidRPr="00751136" w:rsidRDefault="00AB7494" w:rsidP="00AB7494">
            <w:pPr>
              <w:pStyle w:val="BodyTextIndent"/>
              <w:ind w:left="0" w:right="-72"/>
              <w:jc w:val="right"/>
              <w:rPr>
                <w:b/>
                <w:bCs/>
                <w:color w:val="auto"/>
                <w:szCs w:val="20"/>
              </w:rPr>
            </w:pPr>
          </w:p>
        </w:tc>
        <w:tc>
          <w:tcPr>
            <w:tcW w:w="2747" w:type="dxa"/>
            <w:gridSpan w:val="2"/>
            <w:tcBorders>
              <w:bottom w:val="single" w:sz="4" w:space="0" w:color="auto"/>
            </w:tcBorders>
            <w:vAlign w:val="bottom"/>
          </w:tcPr>
          <w:p w14:paraId="0CB4BCD0" w14:textId="2D9AD5D9" w:rsidR="00AB7494" w:rsidRPr="00751136" w:rsidRDefault="00AB7494" w:rsidP="00AB7494">
            <w:pPr>
              <w:pStyle w:val="BodyTextIndent"/>
              <w:ind w:left="0" w:right="-72"/>
              <w:jc w:val="center"/>
              <w:rPr>
                <w:b/>
                <w:bCs/>
                <w:color w:val="auto"/>
                <w:szCs w:val="20"/>
                <w:lang w:val="en-GB"/>
              </w:rPr>
            </w:pPr>
            <w:r w:rsidRPr="00751136">
              <w:rPr>
                <w:b/>
                <w:bCs/>
                <w:color w:val="auto"/>
                <w:szCs w:val="20"/>
                <w:lang w:val="en-GB"/>
              </w:rPr>
              <w:t>Interest rate</w:t>
            </w:r>
          </w:p>
        </w:tc>
      </w:tr>
      <w:tr w:rsidR="00AB7494" w:rsidRPr="00751136" w14:paraId="32D733C1" w14:textId="77777777" w:rsidTr="00C87D8E">
        <w:tc>
          <w:tcPr>
            <w:tcW w:w="3402" w:type="dxa"/>
            <w:vAlign w:val="bottom"/>
          </w:tcPr>
          <w:p w14:paraId="4D24BF53" w14:textId="77777777" w:rsidR="00AB7494" w:rsidRPr="00751136" w:rsidRDefault="00AB7494" w:rsidP="00AB7494">
            <w:pPr>
              <w:pStyle w:val="BodyTextIndent"/>
              <w:ind w:left="432"/>
              <w:jc w:val="left"/>
              <w:rPr>
                <w:color w:val="auto"/>
                <w:szCs w:val="20"/>
                <w:lang w:val="en-GB"/>
              </w:rPr>
            </w:pPr>
            <w:bookmarkStart w:id="6" w:name="_Hlk40100672"/>
          </w:p>
        </w:tc>
        <w:tc>
          <w:tcPr>
            <w:tcW w:w="1440" w:type="dxa"/>
            <w:vAlign w:val="bottom"/>
          </w:tcPr>
          <w:p w14:paraId="1823F4D0" w14:textId="5C7444D6" w:rsidR="00AB7494" w:rsidRPr="00751136" w:rsidRDefault="00AB7494" w:rsidP="00AB7494">
            <w:pPr>
              <w:pStyle w:val="BodyTextIndent"/>
              <w:ind w:left="0" w:right="-72"/>
              <w:jc w:val="right"/>
              <w:rPr>
                <w:b/>
                <w:bCs/>
                <w:color w:val="auto"/>
                <w:szCs w:val="20"/>
              </w:rPr>
            </w:pPr>
            <w:r w:rsidRPr="00751136">
              <w:rPr>
                <w:b/>
                <w:bCs/>
                <w:color w:val="auto"/>
                <w:szCs w:val="20"/>
                <w:lang w:val="en-GB" w:eastAsia="th-TH"/>
              </w:rPr>
              <w:t>2025</w:t>
            </w:r>
          </w:p>
        </w:tc>
        <w:tc>
          <w:tcPr>
            <w:tcW w:w="1440" w:type="dxa"/>
            <w:vAlign w:val="bottom"/>
          </w:tcPr>
          <w:p w14:paraId="15CC9F3F" w14:textId="70A8D5EE" w:rsidR="00AB7494" w:rsidRPr="00751136" w:rsidRDefault="00AB7494" w:rsidP="00AB7494">
            <w:pPr>
              <w:pStyle w:val="BodyTextIndent"/>
              <w:ind w:left="0" w:right="-72"/>
              <w:jc w:val="right"/>
              <w:rPr>
                <w:b/>
                <w:bCs/>
                <w:color w:val="auto"/>
                <w:szCs w:val="20"/>
              </w:rPr>
            </w:pPr>
            <w:r w:rsidRPr="00751136">
              <w:rPr>
                <w:b/>
                <w:bCs/>
                <w:color w:val="auto"/>
                <w:szCs w:val="20"/>
              </w:rPr>
              <w:t>2024</w:t>
            </w:r>
          </w:p>
        </w:tc>
        <w:tc>
          <w:tcPr>
            <w:tcW w:w="1372" w:type="dxa"/>
            <w:tcBorders>
              <w:top w:val="single" w:sz="4" w:space="0" w:color="auto"/>
            </w:tcBorders>
            <w:vAlign w:val="bottom"/>
          </w:tcPr>
          <w:p w14:paraId="7CC5D2A3" w14:textId="0E7638E8" w:rsidR="00AB7494" w:rsidRPr="00751136" w:rsidRDefault="00AB7494" w:rsidP="00AB7494">
            <w:pPr>
              <w:pStyle w:val="BodyTextIndent"/>
              <w:ind w:left="0" w:right="-72"/>
              <w:jc w:val="right"/>
              <w:rPr>
                <w:b/>
                <w:bCs/>
                <w:color w:val="auto"/>
                <w:szCs w:val="20"/>
                <w:lang w:val="en-GB"/>
              </w:rPr>
            </w:pPr>
            <w:r w:rsidRPr="00751136">
              <w:rPr>
                <w:b/>
                <w:bCs/>
                <w:color w:val="auto"/>
                <w:szCs w:val="20"/>
                <w:lang w:val="en-GB" w:eastAsia="th-TH"/>
              </w:rPr>
              <w:t>2025</w:t>
            </w:r>
          </w:p>
        </w:tc>
        <w:tc>
          <w:tcPr>
            <w:tcW w:w="1372" w:type="dxa"/>
            <w:tcBorders>
              <w:top w:val="single" w:sz="4" w:space="0" w:color="auto"/>
            </w:tcBorders>
            <w:vAlign w:val="bottom"/>
          </w:tcPr>
          <w:p w14:paraId="6605E5A3" w14:textId="70CEDC0F" w:rsidR="00AB7494" w:rsidRPr="00751136" w:rsidRDefault="00AB7494" w:rsidP="00AB7494">
            <w:pPr>
              <w:pStyle w:val="BodyTextIndent"/>
              <w:ind w:left="0" w:right="-72"/>
              <w:jc w:val="right"/>
              <w:rPr>
                <w:b/>
                <w:bCs/>
                <w:color w:val="auto"/>
                <w:szCs w:val="20"/>
                <w:lang w:val="en-GB"/>
              </w:rPr>
            </w:pPr>
            <w:r w:rsidRPr="00751136">
              <w:rPr>
                <w:b/>
                <w:bCs/>
                <w:color w:val="auto"/>
                <w:szCs w:val="20"/>
              </w:rPr>
              <w:t>2024</w:t>
            </w:r>
          </w:p>
        </w:tc>
      </w:tr>
      <w:tr w:rsidR="00AB7494" w:rsidRPr="00751136" w14:paraId="29753F78" w14:textId="77777777" w:rsidTr="007D04A5">
        <w:tc>
          <w:tcPr>
            <w:tcW w:w="3402" w:type="dxa"/>
            <w:tcBorders>
              <w:bottom w:val="single" w:sz="4" w:space="0" w:color="auto"/>
            </w:tcBorders>
            <w:vAlign w:val="bottom"/>
          </w:tcPr>
          <w:p w14:paraId="5EDB75F3" w14:textId="6C932036" w:rsidR="00AB7494" w:rsidRPr="00751136" w:rsidRDefault="00AB7494" w:rsidP="00AB7494">
            <w:pPr>
              <w:pStyle w:val="BodyTextIndent"/>
              <w:ind w:left="-101"/>
              <w:jc w:val="center"/>
              <w:rPr>
                <w:color w:val="auto"/>
                <w:szCs w:val="20"/>
                <w:lang w:val="en-GB"/>
              </w:rPr>
            </w:pPr>
            <w:r w:rsidRPr="00751136">
              <w:rPr>
                <w:b/>
                <w:bCs/>
                <w:color w:val="auto"/>
                <w:szCs w:val="20"/>
                <w:lang w:val="en-GB"/>
              </w:rPr>
              <w:t>Details</w:t>
            </w:r>
          </w:p>
        </w:tc>
        <w:tc>
          <w:tcPr>
            <w:tcW w:w="1440" w:type="dxa"/>
            <w:tcBorders>
              <w:bottom w:val="single" w:sz="4" w:space="0" w:color="auto"/>
            </w:tcBorders>
            <w:vAlign w:val="bottom"/>
          </w:tcPr>
          <w:p w14:paraId="0AB5CE71" w14:textId="73819FBA" w:rsidR="00AB7494" w:rsidRPr="00751136" w:rsidRDefault="00AB7494" w:rsidP="00AB7494">
            <w:pPr>
              <w:pStyle w:val="BodyTextIndent"/>
              <w:ind w:left="0" w:right="-72"/>
              <w:jc w:val="right"/>
              <w:rPr>
                <w:b/>
                <w:bCs/>
                <w:color w:val="auto"/>
                <w:szCs w:val="20"/>
              </w:rPr>
            </w:pPr>
            <w:r w:rsidRPr="00751136">
              <w:rPr>
                <w:b/>
                <w:bCs/>
                <w:color w:val="auto"/>
                <w:szCs w:val="20"/>
                <w:lang w:val="en-GB" w:eastAsia="th-TH"/>
              </w:rPr>
              <w:t>Baht</w:t>
            </w:r>
          </w:p>
        </w:tc>
        <w:tc>
          <w:tcPr>
            <w:tcW w:w="1440" w:type="dxa"/>
            <w:tcBorders>
              <w:bottom w:val="single" w:sz="4" w:space="0" w:color="auto"/>
            </w:tcBorders>
            <w:vAlign w:val="bottom"/>
          </w:tcPr>
          <w:p w14:paraId="2448E26A" w14:textId="36739206" w:rsidR="00AB7494" w:rsidRPr="00751136" w:rsidRDefault="00AB7494" w:rsidP="00AB7494">
            <w:pPr>
              <w:pStyle w:val="BodyTextIndent"/>
              <w:ind w:left="0" w:right="-72"/>
              <w:jc w:val="right"/>
              <w:rPr>
                <w:b/>
                <w:bCs/>
                <w:color w:val="auto"/>
                <w:szCs w:val="20"/>
                <w:lang w:val="en-GB"/>
              </w:rPr>
            </w:pPr>
            <w:r w:rsidRPr="00751136">
              <w:rPr>
                <w:b/>
                <w:bCs/>
                <w:color w:val="auto"/>
                <w:szCs w:val="20"/>
              </w:rPr>
              <w:t>Baht</w:t>
            </w:r>
          </w:p>
        </w:tc>
        <w:tc>
          <w:tcPr>
            <w:tcW w:w="1372" w:type="dxa"/>
            <w:tcBorders>
              <w:bottom w:val="single" w:sz="4" w:space="0" w:color="auto"/>
            </w:tcBorders>
          </w:tcPr>
          <w:p w14:paraId="33C15DC4" w14:textId="2247F2C3" w:rsidR="00AB7494" w:rsidRPr="00751136" w:rsidRDefault="00AB7494" w:rsidP="00AB7494">
            <w:pPr>
              <w:pStyle w:val="BodyTextIndent"/>
              <w:ind w:left="0" w:right="-72"/>
              <w:jc w:val="right"/>
              <w:rPr>
                <w:b/>
                <w:bCs/>
                <w:color w:val="auto"/>
                <w:szCs w:val="20"/>
                <w:lang w:val="en-GB"/>
              </w:rPr>
            </w:pPr>
            <w:r w:rsidRPr="00751136">
              <w:rPr>
                <w:b/>
                <w:bCs/>
                <w:color w:val="auto"/>
                <w:szCs w:val="20"/>
                <w:lang w:val="en-GB"/>
              </w:rPr>
              <w:t>%</w:t>
            </w:r>
          </w:p>
        </w:tc>
        <w:tc>
          <w:tcPr>
            <w:tcW w:w="1372" w:type="dxa"/>
            <w:tcBorders>
              <w:bottom w:val="single" w:sz="4" w:space="0" w:color="auto"/>
            </w:tcBorders>
            <w:vAlign w:val="bottom"/>
          </w:tcPr>
          <w:p w14:paraId="1B22CF02" w14:textId="4C2EA01D" w:rsidR="00AB7494" w:rsidRPr="00751136" w:rsidRDefault="00AB7494" w:rsidP="00AB7494">
            <w:pPr>
              <w:pStyle w:val="BodyTextIndent"/>
              <w:ind w:left="0" w:right="-72"/>
              <w:jc w:val="right"/>
              <w:rPr>
                <w:b/>
                <w:bCs/>
                <w:color w:val="auto"/>
                <w:szCs w:val="20"/>
                <w:lang w:val="en-GB"/>
              </w:rPr>
            </w:pPr>
            <w:r w:rsidRPr="00751136">
              <w:rPr>
                <w:b/>
                <w:bCs/>
                <w:color w:val="auto"/>
                <w:szCs w:val="20"/>
                <w:lang w:val="en-GB"/>
              </w:rPr>
              <w:t>%</w:t>
            </w:r>
          </w:p>
        </w:tc>
      </w:tr>
      <w:tr w:rsidR="00AB7494" w:rsidRPr="00751136" w14:paraId="2CD48F8B" w14:textId="77777777" w:rsidTr="007D04A5">
        <w:tc>
          <w:tcPr>
            <w:tcW w:w="3402" w:type="dxa"/>
            <w:tcBorders>
              <w:top w:val="single" w:sz="4" w:space="0" w:color="auto"/>
            </w:tcBorders>
            <w:vAlign w:val="bottom"/>
          </w:tcPr>
          <w:p w14:paraId="1210AA33" w14:textId="77777777" w:rsidR="00AB7494" w:rsidRPr="00751136" w:rsidRDefault="00AB7494" w:rsidP="00AB7494">
            <w:pPr>
              <w:pStyle w:val="BodyTextIndent"/>
              <w:ind w:left="432"/>
              <w:jc w:val="left"/>
              <w:rPr>
                <w:color w:val="auto"/>
                <w:szCs w:val="20"/>
                <w:lang w:val="en-GB"/>
              </w:rPr>
            </w:pPr>
          </w:p>
        </w:tc>
        <w:tc>
          <w:tcPr>
            <w:tcW w:w="1440" w:type="dxa"/>
            <w:tcBorders>
              <w:top w:val="single" w:sz="4" w:space="0" w:color="auto"/>
            </w:tcBorders>
          </w:tcPr>
          <w:p w14:paraId="31AB435A" w14:textId="77777777" w:rsidR="00AB7494" w:rsidRPr="00751136" w:rsidRDefault="00AB7494" w:rsidP="00AB7494">
            <w:pPr>
              <w:pStyle w:val="BodyTextIndent"/>
              <w:ind w:left="0" w:right="-72"/>
              <w:jc w:val="right"/>
              <w:rPr>
                <w:color w:val="auto"/>
                <w:szCs w:val="20"/>
                <w:lang w:val="en-GB"/>
              </w:rPr>
            </w:pPr>
          </w:p>
        </w:tc>
        <w:tc>
          <w:tcPr>
            <w:tcW w:w="1440" w:type="dxa"/>
            <w:tcBorders>
              <w:top w:val="single" w:sz="4" w:space="0" w:color="auto"/>
            </w:tcBorders>
            <w:vAlign w:val="bottom"/>
          </w:tcPr>
          <w:p w14:paraId="245E2492" w14:textId="7BBD8BDB" w:rsidR="00AB7494" w:rsidRPr="00751136" w:rsidRDefault="00AB7494" w:rsidP="00AB7494">
            <w:pPr>
              <w:pStyle w:val="BodyTextIndent"/>
              <w:ind w:left="0" w:right="-72"/>
              <w:jc w:val="right"/>
              <w:rPr>
                <w:color w:val="auto"/>
                <w:szCs w:val="20"/>
                <w:lang w:val="en-GB"/>
              </w:rPr>
            </w:pPr>
          </w:p>
        </w:tc>
        <w:tc>
          <w:tcPr>
            <w:tcW w:w="1372" w:type="dxa"/>
            <w:tcBorders>
              <w:top w:val="single" w:sz="4" w:space="0" w:color="auto"/>
            </w:tcBorders>
          </w:tcPr>
          <w:p w14:paraId="01DDF9A2" w14:textId="77777777" w:rsidR="00AB7494" w:rsidRPr="00751136" w:rsidRDefault="00AB7494" w:rsidP="00AB7494">
            <w:pPr>
              <w:pStyle w:val="BodyTextIndent"/>
              <w:ind w:left="0" w:right="-72"/>
              <w:jc w:val="right"/>
              <w:rPr>
                <w:color w:val="auto"/>
                <w:szCs w:val="20"/>
                <w:lang w:val="en-GB"/>
              </w:rPr>
            </w:pPr>
          </w:p>
        </w:tc>
        <w:tc>
          <w:tcPr>
            <w:tcW w:w="1372" w:type="dxa"/>
            <w:tcBorders>
              <w:top w:val="single" w:sz="4" w:space="0" w:color="auto"/>
            </w:tcBorders>
            <w:vAlign w:val="bottom"/>
          </w:tcPr>
          <w:p w14:paraId="4AADB7CD" w14:textId="1C36EAE4" w:rsidR="00AB7494" w:rsidRPr="00751136" w:rsidRDefault="00AB7494" w:rsidP="00AB7494">
            <w:pPr>
              <w:pStyle w:val="BodyTextIndent"/>
              <w:ind w:left="0" w:right="-72"/>
              <w:jc w:val="right"/>
              <w:rPr>
                <w:color w:val="auto"/>
                <w:szCs w:val="20"/>
                <w:lang w:val="en-GB"/>
              </w:rPr>
            </w:pPr>
          </w:p>
        </w:tc>
      </w:tr>
      <w:tr w:rsidR="00AB7494" w:rsidRPr="00751136" w14:paraId="5F638E84" w14:textId="77777777" w:rsidTr="007D04A5">
        <w:tc>
          <w:tcPr>
            <w:tcW w:w="3402" w:type="dxa"/>
            <w:vAlign w:val="bottom"/>
          </w:tcPr>
          <w:p w14:paraId="71939DBC" w14:textId="77777777" w:rsidR="00AB7494" w:rsidRPr="00751136" w:rsidRDefault="00AB7494" w:rsidP="00AB7494">
            <w:pPr>
              <w:pStyle w:val="BodyTextIndent"/>
              <w:ind w:left="-101"/>
              <w:jc w:val="left"/>
              <w:rPr>
                <w:color w:val="auto"/>
                <w:szCs w:val="20"/>
                <w:lang w:val="en-GB"/>
              </w:rPr>
            </w:pPr>
            <w:bookmarkStart w:id="7" w:name="OLE_LINK5"/>
            <w:r w:rsidRPr="00751136">
              <w:rPr>
                <w:color w:val="auto"/>
                <w:szCs w:val="20"/>
                <w:lang w:val="en-GB"/>
              </w:rPr>
              <w:t>Cash on hand</w:t>
            </w:r>
          </w:p>
        </w:tc>
        <w:tc>
          <w:tcPr>
            <w:tcW w:w="1440" w:type="dxa"/>
          </w:tcPr>
          <w:p w14:paraId="4537E28D" w14:textId="3E12FCC8" w:rsidR="00AB7494" w:rsidRPr="00751136" w:rsidRDefault="00AB7494" w:rsidP="00AB7494">
            <w:pPr>
              <w:pStyle w:val="BodyTextIndent"/>
              <w:ind w:left="0" w:right="-72"/>
              <w:jc w:val="right"/>
              <w:rPr>
                <w:color w:val="auto"/>
                <w:szCs w:val="20"/>
                <w:lang w:val="en-GB"/>
              </w:rPr>
            </w:pPr>
            <w:r w:rsidRPr="00751136">
              <w:t>5,000</w:t>
            </w:r>
          </w:p>
        </w:tc>
        <w:tc>
          <w:tcPr>
            <w:tcW w:w="1440" w:type="dxa"/>
            <w:vAlign w:val="bottom"/>
          </w:tcPr>
          <w:p w14:paraId="4717381F" w14:textId="124391AA" w:rsidR="00AB7494" w:rsidRPr="00751136" w:rsidRDefault="00AB7494" w:rsidP="00AB7494">
            <w:pPr>
              <w:pStyle w:val="BodyTextIndent"/>
              <w:ind w:left="0" w:right="-72"/>
              <w:jc w:val="right"/>
              <w:rPr>
                <w:color w:val="auto"/>
                <w:szCs w:val="20"/>
                <w:lang w:val="en-GB"/>
              </w:rPr>
            </w:pPr>
            <w:r w:rsidRPr="00751136">
              <w:rPr>
                <w:color w:val="auto"/>
                <w:szCs w:val="20"/>
                <w:lang w:val="en-GB"/>
              </w:rPr>
              <w:t>5,000</w:t>
            </w:r>
          </w:p>
        </w:tc>
        <w:tc>
          <w:tcPr>
            <w:tcW w:w="1372" w:type="dxa"/>
          </w:tcPr>
          <w:p w14:paraId="14CD0F2A" w14:textId="64CD9586" w:rsidR="00AB7494" w:rsidRPr="00751136" w:rsidRDefault="00AB7494" w:rsidP="00AB7494">
            <w:pPr>
              <w:pStyle w:val="BodyTextIndent"/>
              <w:ind w:left="0" w:right="-72"/>
              <w:jc w:val="right"/>
              <w:rPr>
                <w:color w:val="auto"/>
                <w:szCs w:val="25"/>
              </w:rPr>
            </w:pPr>
            <w:r w:rsidRPr="00751136">
              <w:rPr>
                <w:color w:val="auto"/>
                <w:szCs w:val="25"/>
              </w:rPr>
              <w:t>-</w:t>
            </w:r>
          </w:p>
        </w:tc>
        <w:tc>
          <w:tcPr>
            <w:tcW w:w="1372" w:type="dxa"/>
            <w:vAlign w:val="bottom"/>
          </w:tcPr>
          <w:p w14:paraId="60D0DCCB" w14:textId="3BBE764C" w:rsidR="00AB7494" w:rsidRPr="00751136" w:rsidRDefault="00AB7494" w:rsidP="00AB7494">
            <w:pPr>
              <w:pStyle w:val="BodyTextIndent"/>
              <w:ind w:left="0" w:right="-72"/>
              <w:jc w:val="right"/>
              <w:rPr>
                <w:color w:val="auto"/>
                <w:szCs w:val="20"/>
                <w:lang w:val="en-GB"/>
              </w:rPr>
            </w:pPr>
            <w:r w:rsidRPr="00751136">
              <w:rPr>
                <w:color w:val="auto"/>
                <w:szCs w:val="20"/>
                <w:lang w:val="en-GB"/>
              </w:rPr>
              <w:t>-</w:t>
            </w:r>
          </w:p>
        </w:tc>
      </w:tr>
      <w:tr w:rsidR="00AB7494" w:rsidRPr="00751136" w14:paraId="6D18FD5C" w14:textId="77777777" w:rsidTr="007D04A5">
        <w:tc>
          <w:tcPr>
            <w:tcW w:w="3402" w:type="dxa"/>
            <w:vAlign w:val="bottom"/>
          </w:tcPr>
          <w:p w14:paraId="11256889" w14:textId="574F9996" w:rsidR="00AB7494" w:rsidRPr="00751136" w:rsidRDefault="00AB7494" w:rsidP="00AB7494">
            <w:pPr>
              <w:pStyle w:val="BodyTextIndent"/>
              <w:ind w:left="-101"/>
              <w:jc w:val="left"/>
              <w:rPr>
                <w:color w:val="auto"/>
                <w:szCs w:val="20"/>
                <w:lang w:val="en-GB"/>
              </w:rPr>
            </w:pPr>
            <w:r w:rsidRPr="00751136">
              <w:rPr>
                <w:color w:val="auto"/>
                <w:szCs w:val="20"/>
                <w:lang w:val="en-GB"/>
              </w:rPr>
              <w:t>Current accounts</w:t>
            </w:r>
          </w:p>
        </w:tc>
        <w:tc>
          <w:tcPr>
            <w:tcW w:w="1440" w:type="dxa"/>
          </w:tcPr>
          <w:p w14:paraId="3A191BD9" w14:textId="19171C0D" w:rsidR="00AB7494" w:rsidRPr="00751136" w:rsidRDefault="00AB7494" w:rsidP="00AB7494">
            <w:pPr>
              <w:pStyle w:val="BodyTextIndent"/>
              <w:ind w:left="0" w:right="-72"/>
              <w:jc w:val="right"/>
              <w:rPr>
                <w:color w:val="auto"/>
                <w:szCs w:val="20"/>
                <w:lang w:val="en-GB"/>
              </w:rPr>
            </w:pPr>
            <w:r w:rsidRPr="00751136">
              <w:t>16,505,594</w:t>
            </w:r>
          </w:p>
        </w:tc>
        <w:tc>
          <w:tcPr>
            <w:tcW w:w="1440" w:type="dxa"/>
            <w:vAlign w:val="bottom"/>
          </w:tcPr>
          <w:p w14:paraId="63280CD6" w14:textId="0BFB131E" w:rsidR="00AB7494" w:rsidRPr="00751136" w:rsidRDefault="00AB7494" w:rsidP="00AB7494">
            <w:pPr>
              <w:pStyle w:val="BodyTextIndent"/>
              <w:ind w:left="0" w:right="-72"/>
              <w:jc w:val="right"/>
              <w:rPr>
                <w:color w:val="auto"/>
                <w:szCs w:val="20"/>
                <w:lang w:val="en-GB"/>
              </w:rPr>
            </w:pPr>
            <w:r w:rsidRPr="00751136">
              <w:rPr>
                <w:color w:val="auto"/>
                <w:szCs w:val="20"/>
                <w:lang w:val="en-GB"/>
              </w:rPr>
              <w:t>2,411,785</w:t>
            </w:r>
          </w:p>
        </w:tc>
        <w:tc>
          <w:tcPr>
            <w:tcW w:w="1372" w:type="dxa"/>
          </w:tcPr>
          <w:p w14:paraId="3046A365" w14:textId="3DEE2433" w:rsidR="00AB7494" w:rsidRPr="00751136" w:rsidRDefault="00AB7494" w:rsidP="00AB7494">
            <w:pPr>
              <w:pStyle w:val="BodyTextIndent"/>
              <w:ind w:left="0" w:right="-72"/>
              <w:jc w:val="right"/>
              <w:rPr>
                <w:color w:val="auto"/>
                <w:szCs w:val="20"/>
                <w:lang w:val="en-GB"/>
              </w:rPr>
            </w:pPr>
            <w:r w:rsidRPr="00751136">
              <w:rPr>
                <w:color w:val="auto"/>
                <w:szCs w:val="20"/>
                <w:lang w:val="en-GB"/>
              </w:rPr>
              <w:t>-</w:t>
            </w:r>
          </w:p>
        </w:tc>
        <w:tc>
          <w:tcPr>
            <w:tcW w:w="1372" w:type="dxa"/>
            <w:vAlign w:val="bottom"/>
          </w:tcPr>
          <w:p w14:paraId="12814902" w14:textId="19CB88AA" w:rsidR="00AB7494" w:rsidRPr="00751136" w:rsidRDefault="00AB7494" w:rsidP="00AB7494">
            <w:pPr>
              <w:pStyle w:val="BodyTextIndent"/>
              <w:ind w:left="0" w:right="-72"/>
              <w:jc w:val="right"/>
              <w:rPr>
                <w:color w:val="auto"/>
                <w:szCs w:val="20"/>
                <w:lang w:val="en-GB"/>
              </w:rPr>
            </w:pPr>
            <w:r w:rsidRPr="00751136">
              <w:rPr>
                <w:color w:val="auto"/>
                <w:szCs w:val="20"/>
                <w:lang w:val="en-GB"/>
              </w:rPr>
              <w:t>-</w:t>
            </w:r>
          </w:p>
        </w:tc>
      </w:tr>
      <w:tr w:rsidR="00AB7494" w:rsidRPr="00751136" w14:paraId="30B7AD80" w14:textId="77777777" w:rsidTr="007D04A5">
        <w:tc>
          <w:tcPr>
            <w:tcW w:w="3402" w:type="dxa"/>
            <w:vAlign w:val="bottom"/>
          </w:tcPr>
          <w:p w14:paraId="44CA00CB" w14:textId="53DAFBA2" w:rsidR="00AB7494" w:rsidRPr="00751136" w:rsidRDefault="00AB7494" w:rsidP="00AB7494">
            <w:pPr>
              <w:pStyle w:val="BodyTextIndent"/>
              <w:ind w:left="-101"/>
              <w:jc w:val="left"/>
              <w:rPr>
                <w:color w:val="auto"/>
                <w:szCs w:val="20"/>
                <w:lang w:val="en-GB"/>
              </w:rPr>
            </w:pPr>
            <w:r w:rsidRPr="00751136">
              <w:rPr>
                <w:color w:val="auto"/>
                <w:szCs w:val="20"/>
                <w:lang w:val="en-GB"/>
              </w:rPr>
              <w:t>Saving accounts</w:t>
            </w:r>
          </w:p>
        </w:tc>
        <w:tc>
          <w:tcPr>
            <w:tcW w:w="1440" w:type="dxa"/>
          </w:tcPr>
          <w:p w14:paraId="00F8FFA5" w14:textId="41FB8A49" w:rsidR="00AB7494" w:rsidRPr="00751136" w:rsidRDefault="00AB7494" w:rsidP="00AB7494">
            <w:pPr>
              <w:pStyle w:val="BodyTextIndent"/>
              <w:ind w:left="0" w:right="-72"/>
              <w:jc w:val="right"/>
              <w:rPr>
                <w:szCs w:val="20"/>
                <w:lang w:val="en-GB"/>
              </w:rPr>
            </w:pPr>
            <w:r w:rsidRPr="00751136">
              <w:t>196,946,911</w:t>
            </w:r>
          </w:p>
        </w:tc>
        <w:tc>
          <w:tcPr>
            <w:tcW w:w="1440" w:type="dxa"/>
            <w:vAlign w:val="bottom"/>
          </w:tcPr>
          <w:p w14:paraId="148D4F67" w14:textId="704E2547" w:rsidR="00AB7494" w:rsidRPr="00751136" w:rsidRDefault="00AB7494" w:rsidP="00AB7494">
            <w:pPr>
              <w:pStyle w:val="BodyTextIndent"/>
              <w:ind w:left="0" w:right="-72"/>
              <w:jc w:val="right"/>
              <w:rPr>
                <w:szCs w:val="20"/>
                <w:lang w:val="en-GB"/>
              </w:rPr>
            </w:pPr>
            <w:r w:rsidRPr="00751136">
              <w:rPr>
                <w:szCs w:val="20"/>
                <w:lang w:val="en-GB"/>
              </w:rPr>
              <w:t>149,145,326</w:t>
            </w:r>
          </w:p>
        </w:tc>
        <w:tc>
          <w:tcPr>
            <w:tcW w:w="1372" w:type="dxa"/>
          </w:tcPr>
          <w:p w14:paraId="472D3252" w14:textId="6CCD7B45" w:rsidR="00AB7494" w:rsidRPr="00751136" w:rsidRDefault="00AB7494" w:rsidP="00AB7494">
            <w:pPr>
              <w:pStyle w:val="BodyTextIndent"/>
              <w:ind w:left="0" w:right="-72"/>
              <w:jc w:val="right"/>
              <w:rPr>
                <w:color w:val="auto"/>
                <w:szCs w:val="20"/>
                <w:lang w:val="en-GB"/>
              </w:rPr>
            </w:pPr>
            <w:r w:rsidRPr="00751136">
              <w:rPr>
                <w:color w:val="auto"/>
                <w:szCs w:val="20"/>
                <w:lang w:val="en-GB"/>
              </w:rPr>
              <w:t>0.20 - 0.30</w:t>
            </w:r>
          </w:p>
        </w:tc>
        <w:tc>
          <w:tcPr>
            <w:tcW w:w="1372" w:type="dxa"/>
            <w:vAlign w:val="bottom"/>
          </w:tcPr>
          <w:p w14:paraId="0C2BEC3A" w14:textId="54128B33" w:rsidR="00AB7494" w:rsidRPr="00751136" w:rsidRDefault="00AB7494" w:rsidP="00AB7494">
            <w:pPr>
              <w:pStyle w:val="BodyTextIndent"/>
              <w:ind w:left="0" w:right="-72"/>
              <w:jc w:val="right"/>
              <w:rPr>
                <w:color w:val="auto"/>
                <w:szCs w:val="20"/>
                <w:lang w:val="en-GB"/>
              </w:rPr>
            </w:pPr>
            <w:r w:rsidRPr="00751136">
              <w:rPr>
                <w:color w:val="auto"/>
                <w:szCs w:val="20"/>
                <w:lang w:val="en-GB"/>
              </w:rPr>
              <w:t>0.56 - 0.60</w:t>
            </w:r>
          </w:p>
        </w:tc>
      </w:tr>
      <w:tr w:rsidR="00AB7494" w:rsidRPr="00751136" w14:paraId="2BF9ABAB" w14:textId="77777777" w:rsidTr="007D04A5">
        <w:tc>
          <w:tcPr>
            <w:tcW w:w="3402" w:type="dxa"/>
            <w:vAlign w:val="bottom"/>
          </w:tcPr>
          <w:p w14:paraId="313B91C9" w14:textId="4464EC88" w:rsidR="00AB7494" w:rsidRPr="00751136" w:rsidRDefault="00AB7494" w:rsidP="00AB7494">
            <w:pPr>
              <w:pStyle w:val="BodyTextIndent"/>
              <w:ind w:left="-101"/>
              <w:jc w:val="left"/>
              <w:rPr>
                <w:color w:val="auto"/>
                <w:szCs w:val="20"/>
                <w:lang w:val="en-GB"/>
              </w:rPr>
            </w:pPr>
            <w:r w:rsidRPr="00751136">
              <w:rPr>
                <w:color w:val="auto"/>
                <w:szCs w:val="20"/>
                <w:lang w:val="en-GB"/>
              </w:rPr>
              <w:t>Treasury bill</w:t>
            </w:r>
          </w:p>
        </w:tc>
        <w:tc>
          <w:tcPr>
            <w:tcW w:w="1440" w:type="dxa"/>
            <w:tcBorders>
              <w:bottom w:val="single" w:sz="4" w:space="0" w:color="auto"/>
            </w:tcBorders>
          </w:tcPr>
          <w:p w14:paraId="5EC928FE" w14:textId="7638BEC7" w:rsidR="00AB7494" w:rsidRPr="00751136" w:rsidRDefault="00AB7494" w:rsidP="00AB7494">
            <w:pPr>
              <w:pStyle w:val="BodyTextIndent"/>
              <w:ind w:left="0" w:right="-72"/>
              <w:jc w:val="right"/>
              <w:rPr>
                <w:szCs w:val="20"/>
                <w:lang w:val="en-GB"/>
              </w:rPr>
            </w:pPr>
            <w:r w:rsidRPr="00751136">
              <w:t>-</w:t>
            </w:r>
          </w:p>
        </w:tc>
        <w:tc>
          <w:tcPr>
            <w:tcW w:w="1440" w:type="dxa"/>
            <w:tcBorders>
              <w:bottom w:val="single" w:sz="4" w:space="0" w:color="auto"/>
            </w:tcBorders>
            <w:vAlign w:val="bottom"/>
          </w:tcPr>
          <w:p w14:paraId="55549A2B" w14:textId="6B741150" w:rsidR="00AB7494" w:rsidRPr="00751136" w:rsidRDefault="00AB7494" w:rsidP="00AB7494">
            <w:pPr>
              <w:pStyle w:val="BodyTextIndent"/>
              <w:ind w:left="0" w:right="-72"/>
              <w:jc w:val="right"/>
              <w:rPr>
                <w:szCs w:val="20"/>
                <w:lang w:val="en-GB"/>
              </w:rPr>
            </w:pPr>
            <w:r w:rsidRPr="00751136">
              <w:rPr>
                <w:szCs w:val="20"/>
                <w:lang w:val="en-GB"/>
              </w:rPr>
              <w:t>257,984,309</w:t>
            </w:r>
          </w:p>
        </w:tc>
        <w:tc>
          <w:tcPr>
            <w:tcW w:w="1372" w:type="dxa"/>
          </w:tcPr>
          <w:p w14:paraId="3A3E496C" w14:textId="21FEF45D" w:rsidR="00AB7494" w:rsidRPr="00751136" w:rsidRDefault="00AB7494" w:rsidP="00AB7494">
            <w:pPr>
              <w:pStyle w:val="BodyTextIndent"/>
              <w:ind w:left="0" w:right="-72"/>
              <w:jc w:val="right"/>
              <w:rPr>
                <w:color w:val="auto"/>
                <w:szCs w:val="20"/>
                <w:lang w:val="en-GB"/>
              </w:rPr>
            </w:pPr>
            <w:r w:rsidRPr="00751136">
              <w:rPr>
                <w:color w:val="auto"/>
                <w:szCs w:val="20"/>
                <w:lang w:val="en-GB"/>
              </w:rPr>
              <w:t>-</w:t>
            </w:r>
          </w:p>
        </w:tc>
        <w:tc>
          <w:tcPr>
            <w:tcW w:w="1372" w:type="dxa"/>
            <w:vAlign w:val="bottom"/>
          </w:tcPr>
          <w:p w14:paraId="29AB4EC5" w14:textId="2BF03C19" w:rsidR="00AB7494" w:rsidRPr="00751136" w:rsidRDefault="00AB7494" w:rsidP="00AB7494">
            <w:pPr>
              <w:pStyle w:val="BodyTextIndent"/>
              <w:ind w:left="0" w:right="-72"/>
              <w:jc w:val="right"/>
              <w:rPr>
                <w:color w:val="auto"/>
                <w:szCs w:val="20"/>
                <w:lang w:val="en-GB"/>
              </w:rPr>
            </w:pPr>
            <w:r w:rsidRPr="00751136">
              <w:rPr>
                <w:color w:val="auto"/>
                <w:szCs w:val="20"/>
                <w:lang w:val="en-GB"/>
              </w:rPr>
              <w:t>2.22</w:t>
            </w:r>
          </w:p>
        </w:tc>
      </w:tr>
      <w:tr w:rsidR="00AB7494" w:rsidRPr="00751136" w14:paraId="06314E70" w14:textId="77777777" w:rsidTr="007D04A5">
        <w:tc>
          <w:tcPr>
            <w:tcW w:w="3402" w:type="dxa"/>
            <w:vAlign w:val="bottom"/>
          </w:tcPr>
          <w:p w14:paraId="21AEE385" w14:textId="77777777" w:rsidR="00AB7494" w:rsidRPr="00751136" w:rsidRDefault="00AB7494" w:rsidP="00AB7494">
            <w:pPr>
              <w:pStyle w:val="BodyTextIndent"/>
              <w:ind w:left="-101"/>
              <w:jc w:val="left"/>
              <w:rPr>
                <w:color w:val="auto"/>
                <w:szCs w:val="20"/>
                <w:lang w:val="en-GB"/>
              </w:rPr>
            </w:pPr>
          </w:p>
        </w:tc>
        <w:tc>
          <w:tcPr>
            <w:tcW w:w="1440" w:type="dxa"/>
            <w:tcBorders>
              <w:top w:val="single" w:sz="4" w:space="0" w:color="auto"/>
            </w:tcBorders>
          </w:tcPr>
          <w:p w14:paraId="51C49435" w14:textId="77777777" w:rsidR="00AB7494" w:rsidRPr="00751136" w:rsidRDefault="00AB7494" w:rsidP="00AB7494">
            <w:pPr>
              <w:pStyle w:val="BodyTextIndent"/>
              <w:ind w:left="0" w:right="-72"/>
              <w:jc w:val="right"/>
              <w:rPr>
                <w:color w:val="auto"/>
                <w:szCs w:val="20"/>
                <w:lang w:val="en-GB"/>
              </w:rPr>
            </w:pPr>
          </w:p>
        </w:tc>
        <w:tc>
          <w:tcPr>
            <w:tcW w:w="1440" w:type="dxa"/>
            <w:tcBorders>
              <w:top w:val="single" w:sz="4" w:space="0" w:color="auto"/>
            </w:tcBorders>
            <w:vAlign w:val="bottom"/>
          </w:tcPr>
          <w:p w14:paraId="4D5B248E" w14:textId="6636721C" w:rsidR="00AB7494" w:rsidRPr="00751136" w:rsidRDefault="00AB7494" w:rsidP="00AB7494">
            <w:pPr>
              <w:pStyle w:val="BodyTextIndent"/>
              <w:ind w:left="0" w:right="-72"/>
              <w:jc w:val="right"/>
              <w:rPr>
                <w:color w:val="auto"/>
                <w:szCs w:val="20"/>
                <w:lang w:val="en-GB"/>
              </w:rPr>
            </w:pPr>
          </w:p>
        </w:tc>
        <w:tc>
          <w:tcPr>
            <w:tcW w:w="1372" w:type="dxa"/>
          </w:tcPr>
          <w:p w14:paraId="7276384B" w14:textId="77777777" w:rsidR="00AB7494" w:rsidRPr="00751136" w:rsidRDefault="00AB7494" w:rsidP="00AB7494">
            <w:pPr>
              <w:pStyle w:val="BodyTextIndent"/>
              <w:ind w:left="0" w:right="-72"/>
              <w:jc w:val="right"/>
              <w:rPr>
                <w:color w:val="auto"/>
                <w:szCs w:val="20"/>
                <w:lang w:val="en-GB"/>
              </w:rPr>
            </w:pPr>
          </w:p>
        </w:tc>
        <w:tc>
          <w:tcPr>
            <w:tcW w:w="1372" w:type="dxa"/>
            <w:vAlign w:val="bottom"/>
          </w:tcPr>
          <w:p w14:paraId="3C96411D" w14:textId="029392DF" w:rsidR="00AB7494" w:rsidRPr="00751136" w:rsidRDefault="00AB7494" w:rsidP="00AB7494">
            <w:pPr>
              <w:pStyle w:val="BodyTextIndent"/>
              <w:ind w:left="0" w:right="-72"/>
              <w:jc w:val="right"/>
              <w:rPr>
                <w:color w:val="auto"/>
                <w:szCs w:val="20"/>
                <w:lang w:val="en-GB"/>
              </w:rPr>
            </w:pPr>
          </w:p>
        </w:tc>
      </w:tr>
      <w:tr w:rsidR="00AB7494" w:rsidRPr="00751136" w14:paraId="773FC2BF" w14:textId="77777777" w:rsidTr="007D04A5">
        <w:tc>
          <w:tcPr>
            <w:tcW w:w="3402" w:type="dxa"/>
            <w:vAlign w:val="bottom"/>
          </w:tcPr>
          <w:p w14:paraId="2B33F10E" w14:textId="03097E4D" w:rsidR="00AB7494" w:rsidRPr="00751136" w:rsidRDefault="00AB7494" w:rsidP="00AB7494">
            <w:pPr>
              <w:pStyle w:val="BodyTextIndent"/>
              <w:ind w:left="-101"/>
              <w:jc w:val="left"/>
              <w:rPr>
                <w:color w:val="auto"/>
                <w:szCs w:val="20"/>
                <w:lang w:val="en-GB"/>
              </w:rPr>
            </w:pPr>
            <w:r w:rsidRPr="00751136">
              <w:rPr>
                <w:color w:val="auto"/>
                <w:szCs w:val="20"/>
                <w:lang w:val="en-GB"/>
              </w:rPr>
              <w:t xml:space="preserve">Total </w:t>
            </w:r>
          </w:p>
        </w:tc>
        <w:tc>
          <w:tcPr>
            <w:tcW w:w="1440" w:type="dxa"/>
            <w:tcBorders>
              <w:bottom w:val="single" w:sz="4" w:space="0" w:color="auto"/>
            </w:tcBorders>
          </w:tcPr>
          <w:p w14:paraId="484B1E2B" w14:textId="4FBEDC86" w:rsidR="00AB7494" w:rsidRPr="00751136" w:rsidRDefault="00AB7494" w:rsidP="00AB7494">
            <w:pPr>
              <w:pStyle w:val="BodyTextIndent"/>
              <w:ind w:left="0" w:right="-72"/>
              <w:jc w:val="right"/>
              <w:rPr>
                <w:color w:val="auto"/>
                <w:szCs w:val="20"/>
              </w:rPr>
            </w:pPr>
            <w:r w:rsidRPr="00751136">
              <w:rPr>
                <w:color w:val="auto"/>
                <w:szCs w:val="20"/>
              </w:rPr>
              <w:t>213,457,505</w:t>
            </w:r>
          </w:p>
        </w:tc>
        <w:tc>
          <w:tcPr>
            <w:tcW w:w="1440" w:type="dxa"/>
            <w:tcBorders>
              <w:bottom w:val="single" w:sz="4" w:space="0" w:color="auto"/>
            </w:tcBorders>
            <w:vAlign w:val="bottom"/>
          </w:tcPr>
          <w:p w14:paraId="02B37391" w14:textId="7D768EA4" w:rsidR="00AB7494" w:rsidRPr="00751136" w:rsidRDefault="00AB7494" w:rsidP="00AB7494">
            <w:pPr>
              <w:pStyle w:val="BodyTextIndent"/>
              <w:ind w:left="0" w:right="-72"/>
              <w:jc w:val="right"/>
              <w:rPr>
                <w:color w:val="auto"/>
                <w:szCs w:val="20"/>
              </w:rPr>
            </w:pPr>
            <w:r w:rsidRPr="00751136">
              <w:rPr>
                <w:color w:val="auto"/>
                <w:szCs w:val="20"/>
              </w:rPr>
              <w:t>409,546,420</w:t>
            </w:r>
          </w:p>
        </w:tc>
        <w:tc>
          <w:tcPr>
            <w:tcW w:w="1372" w:type="dxa"/>
          </w:tcPr>
          <w:p w14:paraId="7ACAFDF3" w14:textId="77777777" w:rsidR="00AB7494" w:rsidRPr="00751136" w:rsidRDefault="00AB7494" w:rsidP="00AB7494">
            <w:pPr>
              <w:pStyle w:val="BodyTextIndent"/>
              <w:ind w:left="0" w:right="-72"/>
              <w:jc w:val="right"/>
              <w:rPr>
                <w:color w:val="auto"/>
                <w:szCs w:val="20"/>
                <w:lang w:val="en-GB"/>
              </w:rPr>
            </w:pPr>
          </w:p>
        </w:tc>
        <w:tc>
          <w:tcPr>
            <w:tcW w:w="1372" w:type="dxa"/>
            <w:vAlign w:val="bottom"/>
          </w:tcPr>
          <w:p w14:paraId="39652E1C" w14:textId="3C5A99CC" w:rsidR="00AB7494" w:rsidRPr="00751136" w:rsidRDefault="00AB7494" w:rsidP="00AB7494">
            <w:pPr>
              <w:pStyle w:val="BodyTextIndent"/>
              <w:ind w:left="0" w:right="-72"/>
              <w:jc w:val="right"/>
              <w:rPr>
                <w:color w:val="auto"/>
                <w:szCs w:val="20"/>
                <w:lang w:val="en-GB"/>
              </w:rPr>
            </w:pPr>
          </w:p>
        </w:tc>
      </w:tr>
      <w:bookmarkEnd w:id="6"/>
      <w:bookmarkEnd w:id="7"/>
    </w:tbl>
    <w:p w14:paraId="2CC7F761" w14:textId="77777777" w:rsidR="004C608B" w:rsidRPr="00751136" w:rsidRDefault="004C608B" w:rsidP="0003043C">
      <w:pPr>
        <w:tabs>
          <w:tab w:val="left" w:pos="540"/>
        </w:tabs>
        <w:rPr>
          <w:color w:val="auto"/>
          <w:lang w:val="en-GB"/>
        </w:rPr>
      </w:pPr>
    </w:p>
    <w:p w14:paraId="16CEC56D" w14:textId="77777777" w:rsidR="004C608B" w:rsidRPr="00751136" w:rsidRDefault="004C608B" w:rsidP="0003043C">
      <w:pPr>
        <w:tabs>
          <w:tab w:val="left" w:pos="540"/>
        </w:tabs>
        <w:rPr>
          <w:color w:val="auto"/>
          <w:lang w:val="en-GB"/>
        </w:rPr>
      </w:pPr>
    </w:p>
    <w:p w14:paraId="23BBABEC" w14:textId="701B7EB2" w:rsidR="00505998" w:rsidRPr="00751136" w:rsidRDefault="002324FE" w:rsidP="0003043C">
      <w:pPr>
        <w:tabs>
          <w:tab w:val="left" w:pos="540"/>
        </w:tabs>
        <w:rPr>
          <w:b/>
          <w:bCs/>
          <w:color w:val="auto"/>
        </w:rPr>
      </w:pPr>
      <w:r w:rsidRPr="00751136">
        <w:rPr>
          <w:b/>
          <w:bCs/>
          <w:color w:val="auto"/>
        </w:rPr>
        <w:t>8</w:t>
      </w:r>
      <w:r w:rsidR="00DE2884" w:rsidRPr="00751136">
        <w:rPr>
          <w:b/>
          <w:bCs/>
          <w:color w:val="auto"/>
        </w:rPr>
        <w:tab/>
        <w:t xml:space="preserve">Lease liabilities </w:t>
      </w:r>
    </w:p>
    <w:p w14:paraId="55289CC6" w14:textId="77777777" w:rsidR="00924BF8" w:rsidRPr="00751136" w:rsidRDefault="00924BF8" w:rsidP="0003043C">
      <w:pPr>
        <w:jc w:val="both"/>
        <w:rPr>
          <w:color w:val="auto"/>
          <w:lang w:val="en-GB"/>
        </w:rPr>
      </w:pPr>
    </w:p>
    <w:p w14:paraId="1CB3BDFA" w14:textId="53C3138B" w:rsidR="00505998" w:rsidRPr="00751136" w:rsidRDefault="00505998" w:rsidP="0003043C">
      <w:pPr>
        <w:pStyle w:val="BodyTextIndent"/>
        <w:tabs>
          <w:tab w:val="right" w:pos="9360"/>
        </w:tabs>
        <w:ind w:left="0"/>
        <w:rPr>
          <w:color w:val="auto"/>
          <w:spacing w:val="-6"/>
          <w:szCs w:val="20"/>
          <w:lang w:val="en-GB"/>
        </w:rPr>
      </w:pPr>
      <w:r w:rsidRPr="00751136">
        <w:rPr>
          <w:color w:val="auto"/>
          <w:spacing w:val="-6"/>
          <w:szCs w:val="20"/>
          <w:lang w:val="en-GB"/>
        </w:rPr>
        <w:t xml:space="preserve">The statement of financial position as </w:t>
      </w:r>
      <w:proofErr w:type="gramStart"/>
      <w:r w:rsidRPr="00751136">
        <w:rPr>
          <w:color w:val="auto"/>
          <w:spacing w:val="-6"/>
          <w:szCs w:val="20"/>
          <w:lang w:val="en-GB"/>
        </w:rPr>
        <w:t>at</w:t>
      </w:r>
      <w:proofErr w:type="gramEnd"/>
      <w:r w:rsidRPr="00751136">
        <w:rPr>
          <w:color w:val="auto"/>
          <w:spacing w:val="-6"/>
          <w:szCs w:val="20"/>
          <w:lang w:val="en-GB"/>
        </w:rPr>
        <w:t xml:space="preserve"> </w:t>
      </w:r>
      <w:r w:rsidR="001659E8" w:rsidRPr="00751136">
        <w:rPr>
          <w:color w:val="auto"/>
          <w:spacing w:val="-6"/>
          <w:szCs w:val="20"/>
          <w:lang w:val="en-GB"/>
        </w:rPr>
        <w:t>31</w:t>
      </w:r>
      <w:r w:rsidRPr="00751136">
        <w:rPr>
          <w:color w:val="auto"/>
          <w:spacing w:val="-6"/>
          <w:szCs w:val="20"/>
          <w:lang w:val="en-GB"/>
        </w:rPr>
        <w:t xml:space="preserve"> December shows the following amount relating to lease liabilities:</w:t>
      </w:r>
    </w:p>
    <w:p w14:paraId="7DD1A8AA" w14:textId="77777777" w:rsidR="00A8330C" w:rsidRPr="00751136" w:rsidRDefault="00A8330C" w:rsidP="0003043C">
      <w:pPr>
        <w:jc w:val="both"/>
        <w:rPr>
          <w:color w:val="auto"/>
          <w:lang w:val="en-GB"/>
        </w:rPr>
      </w:pPr>
    </w:p>
    <w:tbl>
      <w:tblPr>
        <w:tblW w:w="9043" w:type="dxa"/>
        <w:tblInd w:w="108" w:type="dxa"/>
        <w:tblLayout w:type="fixed"/>
        <w:tblLook w:val="0000" w:firstRow="0" w:lastRow="0" w:firstColumn="0" w:lastColumn="0" w:noHBand="0" w:noVBand="0"/>
      </w:tblPr>
      <w:tblGrid>
        <w:gridCol w:w="5812"/>
        <w:gridCol w:w="1647"/>
        <w:gridCol w:w="1584"/>
      </w:tblGrid>
      <w:tr w:rsidR="009F10C8" w:rsidRPr="00751136" w14:paraId="2058BEAB" w14:textId="77777777" w:rsidTr="00F61430">
        <w:tc>
          <w:tcPr>
            <w:tcW w:w="5812" w:type="dxa"/>
            <w:vAlign w:val="bottom"/>
          </w:tcPr>
          <w:p w14:paraId="31586E00" w14:textId="77777777" w:rsidR="009F10C8" w:rsidRPr="00751136" w:rsidRDefault="009F10C8" w:rsidP="0003043C">
            <w:pPr>
              <w:pStyle w:val="BodyTextIndent"/>
              <w:ind w:left="-101"/>
              <w:jc w:val="left"/>
              <w:rPr>
                <w:color w:val="auto"/>
                <w:szCs w:val="20"/>
                <w:lang w:val="en-GB"/>
              </w:rPr>
            </w:pPr>
          </w:p>
        </w:tc>
        <w:tc>
          <w:tcPr>
            <w:tcW w:w="1647" w:type="dxa"/>
            <w:vAlign w:val="bottom"/>
          </w:tcPr>
          <w:p w14:paraId="326D22B0" w14:textId="600983F6" w:rsidR="009F10C8" w:rsidRPr="00751136" w:rsidRDefault="009F10C8" w:rsidP="0003043C">
            <w:pPr>
              <w:pStyle w:val="BodyTextIndent"/>
              <w:ind w:left="0" w:right="-72"/>
              <w:jc w:val="right"/>
              <w:rPr>
                <w:b/>
                <w:bCs/>
                <w:color w:val="auto"/>
                <w:szCs w:val="20"/>
                <w:lang w:val="en-GB"/>
              </w:rPr>
            </w:pPr>
            <w:r w:rsidRPr="00751136">
              <w:rPr>
                <w:b/>
                <w:bCs/>
                <w:color w:val="auto"/>
                <w:szCs w:val="20"/>
                <w:lang w:val="en-GB" w:eastAsia="th-TH"/>
              </w:rPr>
              <w:t>2025</w:t>
            </w:r>
          </w:p>
        </w:tc>
        <w:tc>
          <w:tcPr>
            <w:tcW w:w="1584" w:type="dxa"/>
            <w:vAlign w:val="bottom"/>
          </w:tcPr>
          <w:p w14:paraId="5D289EA9" w14:textId="0A3F1DF6" w:rsidR="009F10C8" w:rsidRPr="00751136" w:rsidRDefault="009F10C8" w:rsidP="0003043C">
            <w:pPr>
              <w:pStyle w:val="BodyTextIndent"/>
              <w:ind w:left="0" w:right="-72"/>
              <w:jc w:val="right"/>
              <w:rPr>
                <w:b/>
                <w:bCs/>
                <w:color w:val="auto"/>
                <w:szCs w:val="20"/>
                <w:lang w:val="en-GB"/>
              </w:rPr>
            </w:pPr>
            <w:r w:rsidRPr="00751136">
              <w:rPr>
                <w:b/>
                <w:bCs/>
                <w:color w:val="auto"/>
                <w:szCs w:val="20"/>
                <w:lang w:val="en-GB"/>
              </w:rPr>
              <w:t>2024</w:t>
            </w:r>
          </w:p>
        </w:tc>
      </w:tr>
      <w:tr w:rsidR="009F10C8" w:rsidRPr="00751136" w14:paraId="443E42DA" w14:textId="77777777" w:rsidTr="00F61430">
        <w:tc>
          <w:tcPr>
            <w:tcW w:w="5812" w:type="dxa"/>
            <w:vAlign w:val="bottom"/>
          </w:tcPr>
          <w:p w14:paraId="079770FA" w14:textId="77777777" w:rsidR="009F10C8" w:rsidRPr="00751136" w:rsidRDefault="009F10C8" w:rsidP="0003043C">
            <w:pPr>
              <w:pStyle w:val="BodyTextIndent"/>
              <w:ind w:left="-101"/>
              <w:jc w:val="left"/>
              <w:rPr>
                <w:color w:val="auto"/>
                <w:szCs w:val="20"/>
                <w:lang w:val="en-GB"/>
              </w:rPr>
            </w:pPr>
          </w:p>
        </w:tc>
        <w:tc>
          <w:tcPr>
            <w:tcW w:w="1647" w:type="dxa"/>
            <w:tcBorders>
              <w:bottom w:val="single" w:sz="4" w:space="0" w:color="auto"/>
            </w:tcBorders>
            <w:vAlign w:val="bottom"/>
          </w:tcPr>
          <w:p w14:paraId="4E2F1E91" w14:textId="681867C1"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Baht</w:t>
            </w:r>
          </w:p>
        </w:tc>
        <w:tc>
          <w:tcPr>
            <w:tcW w:w="1584" w:type="dxa"/>
            <w:tcBorders>
              <w:bottom w:val="single" w:sz="4" w:space="0" w:color="auto"/>
            </w:tcBorders>
            <w:vAlign w:val="bottom"/>
          </w:tcPr>
          <w:p w14:paraId="2965315B" w14:textId="1FD875E2" w:rsidR="009F10C8" w:rsidRPr="00751136" w:rsidRDefault="009F10C8" w:rsidP="0003043C">
            <w:pPr>
              <w:pStyle w:val="BodyTextIndent"/>
              <w:ind w:left="0" w:right="-72"/>
              <w:jc w:val="right"/>
              <w:rPr>
                <w:b/>
                <w:bCs/>
                <w:color w:val="auto"/>
                <w:szCs w:val="20"/>
              </w:rPr>
            </w:pPr>
            <w:r w:rsidRPr="00751136">
              <w:rPr>
                <w:b/>
                <w:bCs/>
                <w:color w:val="auto"/>
                <w:szCs w:val="20"/>
              </w:rPr>
              <w:t>Baht</w:t>
            </w:r>
          </w:p>
        </w:tc>
      </w:tr>
      <w:tr w:rsidR="009F10C8" w:rsidRPr="00751136" w14:paraId="769B7DF6" w14:textId="77777777" w:rsidTr="00F61430">
        <w:tc>
          <w:tcPr>
            <w:tcW w:w="5812" w:type="dxa"/>
            <w:vAlign w:val="bottom"/>
          </w:tcPr>
          <w:p w14:paraId="23977EBD" w14:textId="77777777" w:rsidR="009F10C8" w:rsidRPr="00751136" w:rsidRDefault="009F10C8" w:rsidP="0003043C">
            <w:pPr>
              <w:pStyle w:val="BodyTextIndent"/>
              <w:ind w:left="-101"/>
              <w:jc w:val="left"/>
              <w:rPr>
                <w:color w:val="auto"/>
                <w:szCs w:val="20"/>
                <w:lang w:val="en-GB"/>
              </w:rPr>
            </w:pPr>
          </w:p>
        </w:tc>
        <w:tc>
          <w:tcPr>
            <w:tcW w:w="1647" w:type="dxa"/>
            <w:tcBorders>
              <w:top w:val="single" w:sz="4" w:space="0" w:color="auto"/>
            </w:tcBorders>
          </w:tcPr>
          <w:p w14:paraId="25EF9596" w14:textId="77777777" w:rsidR="009F10C8" w:rsidRPr="00751136" w:rsidRDefault="009F10C8" w:rsidP="0003043C">
            <w:pPr>
              <w:pStyle w:val="BodyTextIndent"/>
              <w:ind w:left="0" w:right="-72"/>
              <w:jc w:val="right"/>
              <w:rPr>
                <w:color w:val="auto"/>
                <w:szCs w:val="20"/>
                <w:lang w:val="en-GB"/>
              </w:rPr>
            </w:pPr>
          </w:p>
        </w:tc>
        <w:tc>
          <w:tcPr>
            <w:tcW w:w="1584" w:type="dxa"/>
            <w:tcBorders>
              <w:top w:val="single" w:sz="4" w:space="0" w:color="auto"/>
            </w:tcBorders>
          </w:tcPr>
          <w:p w14:paraId="2202C5D7" w14:textId="00B474C0" w:rsidR="009F10C8" w:rsidRPr="00751136" w:rsidRDefault="009F10C8" w:rsidP="0003043C">
            <w:pPr>
              <w:pStyle w:val="BodyTextIndent"/>
              <w:ind w:left="0" w:right="-72"/>
              <w:jc w:val="right"/>
              <w:rPr>
                <w:color w:val="auto"/>
                <w:szCs w:val="20"/>
                <w:lang w:val="en-GB"/>
              </w:rPr>
            </w:pPr>
          </w:p>
        </w:tc>
      </w:tr>
      <w:tr w:rsidR="00F61430" w:rsidRPr="00751136" w14:paraId="0ACBC263" w14:textId="77777777" w:rsidTr="00F61430">
        <w:tc>
          <w:tcPr>
            <w:tcW w:w="5812" w:type="dxa"/>
            <w:vAlign w:val="bottom"/>
          </w:tcPr>
          <w:p w14:paraId="7DF0DA89" w14:textId="6F53FDCC" w:rsidR="00F61430" w:rsidRPr="00751136" w:rsidRDefault="00F61430" w:rsidP="0003043C">
            <w:pPr>
              <w:pStyle w:val="BodyTextIndent"/>
              <w:tabs>
                <w:tab w:val="left" w:pos="972"/>
              </w:tabs>
              <w:ind w:left="-101"/>
              <w:jc w:val="left"/>
              <w:rPr>
                <w:color w:val="auto"/>
                <w:szCs w:val="20"/>
              </w:rPr>
            </w:pPr>
            <w:r w:rsidRPr="00751136">
              <w:rPr>
                <w:color w:val="auto"/>
                <w:szCs w:val="20"/>
              </w:rPr>
              <w:t>Minimum lease liabilities payments</w:t>
            </w:r>
          </w:p>
        </w:tc>
        <w:tc>
          <w:tcPr>
            <w:tcW w:w="1647" w:type="dxa"/>
          </w:tcPr>
          <w:p w14:paraId="0642AC12" w14:textId="51EAC8D6" w:rsidR="00F61430" w:rsidRPr="00751136" w:rsidRDefault="00F61430" w:rsidP="0003043C">
            <w:pPr>
              <w:ind w:right="-72"/>
              <w:jc w:val="right"/>
              <w:rPr>
                <w:color w:val="auto"/>
                <w:lang w:val="en-GB"/>
              </w:rPr>
            </w:pPr>
            <w:r w:rsidRPr="00751136">
              <w:t xml:space="preserve"> 11,845,138,650 </w:t>
            </w:r>
          </w:p>
        </w:tc>
        <w:tc>
          <w:tcPr>
            <w:tcW w:w="1584" w:type="dxa"/>
          </w:tcPr>
          <w:p w14:paraId="60FCA5E7" w14:textId="734A58EF" w:rsidR="00F61430" w:rsidRPr="00751136" w:rsidRDefault="00F61430" w:rsidP="0003043C">
            <w:pPr>
              <w:ind w:right="-72"/>
              <w:jc w:val="right"/>
              <w:rPr>
                <w:color w:val="auto"/>
                <w:lang w:val="en-GB"/>
              </w:rPr>
            </w:pPr>
            <w:r w:rsidRPr="00751136">
              <w:rPr>
                <w:color w:val="auto"/>
                <w:lang w:val="en-GB"/>
              </w:rPr>
              <w:t>11,845,138,650</w:t>
            </w:r>
          </w:p>
        </w:tc>
      </w:tr>
      <w:tr w:rsidR="00F61430" w:rsidRPr="00751136" w14:paraId="42C31187" w14:textId="77777777" w:rsidTr="00F61430">
        <w:tc>
          <w:tcPr>
            <w:tcW w:w="5812" w:type="dxa"/>
            <w:vAlign w:val="bottom"/>
          </w:tcPr>
          <w:p w14:paraId="45ECF667" w14:textId="2CF14592" w:rsidR="00F61430" w:rsidRPr="00751136" w:rsidRDefault="00F61430" w:rsidP="0003043C">
            <w:pPr>
              <w:pStyle w:val="BodyTextIndent"/>
              <w:tabs>
                <w:tab w:val="left" w:pos="972"/>
              </w:tabs>
              <w:ind w:left="-101"/>
              <w:jc w:val="left"/>
              <w:rPr>
                <w:color w:val="auto"/>
                <w:spacing w:val="8"/>
                <w:szCs w:val="20"/>
              </w:rPr>
            </w:pPr>
            <w:proofErr w:type="gramStart"/>
            <w:r w:rsidRPr="00751136">
              <w:rPr>
                <w:color w:val="auto"/>
                <w:spacing w:val="-2"/>
                <w:szCs w:val="20"/>
                <w:u w:val="single"/>
                <w:lang w:val="en-GB"/>
              </w:rPr>
              <w:t>Less</w:t>
            </w:r>
            <w:r w:rsidRPr="00751136">
              <w:rPr>
                <w:color w:val="auto"/>
                <w:spacing w:val="-2"/>
                <w:szCs w:val="20"/>
                <w:lang w:val="en-GB"/>
              </w:rPr>
              <w:t xml:space="preserve"> </w:t>
            </w:r>
            <w:r w:rsidR="00142FDE">
              <w:rPr>
                <w:rFonts w:cstheme="minorBidi" w:hint="cs"/>
                <w:color w:val="auto"/>
                <w:spacing w:val="-2"/>
                <w:szCs w:val="20"/>
                <w:cs/>
                <w:lang w:val="en-GB"/>
              </w:rPr>
              <w:t xml:space="preserve"> </w:t>
            </w:r>
            <w:r w:rsidRPr="00751136">
              <w:rPr>
                <w:color w:val="auto"/>
                <w:spacing w:val="-2"/>
                <w:szCs w:val="20"/>
                <w:lang w:val="en-GB"/>
              </w:rPr>
              <w:t>Future</w:t>
            </w:r>
            <w:proofErr w:type="gramEnd"/>
            <w:r w:rsidRPr="00751136">
              <w:rPr>
                <w:color w:val="auto"/>
                <w:spacing w:val="-2"/>
                <w:szCs w:val="20"/>
                <w:lang w:val="en-GB"/>
              </w:rPr>
              <w:t xml:space="preserve"> finance costs charges on finance leases</w:t>
            </w:r>
          </w:p>
        </w:tc>
        <w:tc>
          <w:tcPr>
            <w:tcW w:w="1647" w:type="dxa"/>
            <w:tcBorders>
              <w:bottom w:val="single" w:sz="4" w:space="0" w:color="auto"/>
            </w:tcBorders>
          </w:tcPr>
          <w:p w14:paraId="309CFF70" w14:textId="37278A97" w:rsidR="00F61430" w:rsidRPr="00751136" w:rsidRDefault="00F61430" w:rsidP="0003043C">
            <w:pPr>
              <w:ind w:right="-72"/>
              <w:jc w:val="right"/>
              <w:rPr>
                <w:color w:val="auto"/>
                <w:lang w:val="en-GB"/>
              </w:rPr>
            </w:pPr>
            <w:r w:rsidRPr="00751136">
              <w:t xml:space="preserve"> (5,132,779,968)</w:t>
            </w:r>
          </w:p>
        </w:tc>
        <w:tc>
          <w:tcPr>
            <w:tcW w:w="1584" w:type="dxa"/>
            <w:tcBorders>
              <w:bottom w:val="single" w:sz="4" w:space="0" w:color="auto"/>
            </w:tcBorders>
          </w:tcPr>
          <w:p w14:paraId="4EDBE52A" w14:textId="46CFE550" w:rsidR="00F61430" w:rsidRPr="00751136" w:rsidRDefault="00F61430" w:rsidP="0003043C">
            <w:pPr>
              <w:ind w:right="-72"/>
              <w:jc w:val="right"/>
              <w:rPr>
                <w:color w:val="auto"/>
                <w:lang w:val="en-GB"/>
              </w:rPr>
            </w:pPr>
            <w:r w:rsidRPr="00751136">
              <w:rPr>
                <w:color w:val="auto"/>
                <w:lang w:val="en-GB"/>
              </w:rPr>
              <w:t>(5,500,672,243)</w:t>
            </w:r>
          </w:p>
        </w:tc>
      </w:tr>
      <w:tr w:rsidR="009F10C8" w:rsidRPr="00751136" w14:paraId="0749CC22" w14:textId="77777777" w:rsidTr="00F61430">
        <w:tc>
          <w:tcPr>
            <w:tcW w:w="5812" w:type="dxa"/>
            <w:vAlign w:val="bottom"/>
          </w:tcPr>
          <w:p w14:paraId="508432BF" w14:textId="77777777" w:rsidR="009F10C8" w:rsidRPr="00751136" w:rsidRDefault="009F10C8" w:rsidP="0003043C">
            <w:pPr>
              <w:pStyle w:val="BodyTextIndent"/>
              <w:ind w:left="-101"/>
              <w:jc w:val="left"/>
              <w:rPr>
                <w:color w:val="auto"/>
                <w:szCs w:val="20"/>
                <w:lang w:val="en-GB"/>
              </w:rPr>
            </w:pPr>
          </w:p>
        </w:tc>
        <w:tc>
          <w:tcPr>
            <w:tcW w:w="1647" w:type="dxa"/>
            <w:tcBorders>
              <w:top w:val="single" w:sz="4" w:space="0" w:color="auto"/>
            </w:tcBorders>
          </w:tcPr>
          <w:p w14:paraId="2B398E9A" w14:textId="77777777" w:rsidR="009F10C8" w:rsidRPr="00751136" w:rsidRDefault="009F10C8" w:rsidP="0003043C">
            <w:pPr>
              <w:pStyle w:val="BodyTextIndent"/>
              <w:ind w:left="0" w:right="-72"/>
              <w:jc w:val="right"/>
              <w:rPr>
                <w:color w:val="auto"/>
                <w:szCs w:val="20"/>
                <w:lang w:val="en-GB"/>
              </w:rPr>
            </w:pPr>
          </w:p>
        </w:tc>
        <w:tc>
          <w:tcPr>
            <w:tcW w:w="1584" w:type="dxa"/>
            <w:tcBorders>
              <w:top w:val="single" w:sz="4" w:space="0" w:color="auto"/>
            </w:tcBorders>
          </w:tcPr>
          <w:p w14:paraId="674EC256" w14:textId="12002935" w:rsidR="009F10C8" w:rsidRPr="00751136" w:rsidRDefault="009F10C8" w:rsidP="0003043C">
            <w:pPr>
              <w:pStyle w:val="BodyTextIndent"/>
              <w:ind w:left="0" w:right="-72"/>
              <w:jc w:val="right"/>
              <w:rPr>
                <w:color w:val="auto"/>
                <w:szCs w:val="20"/>
                <w:lang w:val="en-GB"/>
              </w:rPr>
            </w:pPr>
          </w:p>
        </w:tc>
      </w:tr>
      <w:tr w:rsidR="009F10C8" w:rsidRPr="00751136" w14:paraId="3460B7D9" w14:textId="77777777" w:rsidTr="00F61430">
        <w:tc>
          <w:tcPr>
            <w:tcW w:w="5812" w:type="dxa"/>
            <w:vAlign w:val="bottom"/>
          </w:tcPr>
          <w:p w14:paraId="3528F58A" w14:textId="746E5D4E" w:rsidR="009F10C8" w:rsidRPr="00751136" w:rsidRDefault="009F10C8" w:rsidP="0003043C">
            <w:pPr>
              <w:pStyle w:val="BodyTextIndent"/>
              <w:tabs>
                <w:tab w:val="left" w:pos="972"/>
              </w:tabs>
              <w:ind w:left="-101"/>
              <w:jc w:val="left"/>
              <w:rPr>
                <w:color w:val="auto"/>
                <w:szCs w:val="20"/>
              </w:rPr>
            </w:pPr>
            <w:r w:rsidRPr="00751136">
              <w:rPr>
                <w:color w:val="auto"/>
                <w:szCs w:val="20"/>
              </w:rPr>
              <w:t>Present value of lease liabilities</w:t>
            </w:r>
          </w:p>
        </w:tc>
        <w:tc>
          <w:tcPr>
            <w:tcW w:w="1647" w:type="dxa"/>
            <w:tcBorders>
              <w:bottom w:val="single" w:sz="4" w:space="0" w:color="auto"/>
            </w:tcBorders>
          </w:tcPr>
          <w:p w14:paraId="2A16A298" w14:textId="1526E6FD" w:rsidR="009F10C8" w:rsidRPr="00751136" w:rsidRDefault="00F61430" w:rsidP="0003043C">
            <w:pPr>
              <w:ind w:right="-72"/>
              <w:jc w:val="right"/>
              <w:rPr>
                <w:color w:val="auto"/>
                <w:lang w:val="en-GB"/>
              </w:rPr>
            </w:pPr>
            <w:r w:rsidRPr="00751136">
              <w:rPr>
                <w:color w:val="auto"/>
                <w:lang w:val="en-GB"/>
              </w:rPr>
              <w:t>6,712,358,682</w:t>
            </w:r>
          </w:p>
        </w:tc>
        <w:tc>
          <w:tcPr>
            <w:tcW w:w="1584" w:type="dxa"/>
            <w:tcBorders>
              <w:bottom w:val="single" w:sz="4" w:space="0" w:color="auto"/>
            </w:tcBorders>
          </w:tcPr>
          <w:p w14:paraId="496A858E" w14:textId="5A207433" w:rsidR="009F10C8" w:rsidRPr="00751136" w:rsidRDefault="009F10C8" w:rsidP="0003043C">
            <w:pPr>
              <w:ind w:right="-72"/>
              <w:jc w:val="right"/>
              <w:rPr>
                <w:color w:val="auto"/>
                <w:cs/>
                <w:lang w:val="en-GB"/>
              </w:rPr>
            </w:pPr>
            <w:r w:rsidRPr="00751136">
              <w:rPr>
                <w:color w:val="auto"/>
                <w:lang w:val="en-GB"/>
              </w:rPr>
              <w:t>6,344,466,407</w:t>
            </w:r>
          </w:p>
        </w:tc>
      </w:tr>
    </w:tbl>
    <w:p w14:paraId="57BC96B7" w14:textId="77777777" w:rsidR="00505998" w:rsidRPr="00751136" w:rsidRDefault="00505998" w:rsidP="0003043C">
      <w:pPr>
        <w:jc w:val="both"/>
        <w:rPr>
          <w:color w:val="auto"/>
          <w:lang w:val="en-GB"/>
        </w:rPr>
      </w:pPr>
    </w:p>
    <w:p w14:paraId="38F45253" w14:textId="7EE4FEA4" w:rsidR="00505998" w:rsidRPr="00751136" w:rsidRDefault="00722BB0" w:rsidP="00722BB0">
      <w:pPr>
        <w:jc w:val="both"/>
        <w:rPr>
          <w:color w:val="auto"/>
          <w:lang w:val="en-GB"/>
        </w:rPr>
      </w:pPr>
      <w:r w:rsidRPr="00751136">
        <w:rPr>
          <w:color w:val="auto"/>
          <w:lang w:val="en-GB"/>
        </w:rPr>
        <w:br w:type="page"/>
      </w:r>
      <w:r w:rsidR="00505998" w:rsidRPr="00751136">
        <w:rPr>
          <w:color w:val="auto"/>
          <w:lang w:val="en-GB"/>
        </w:rPr>
        <w:lastRenderedPageBreak/>
        <w:t>The statement</w:t>
      </w:r>
      <w:r w:rsidR="0057079D" w:rsidRPr="00751136">
        <w:rPr>
          <w:color w:val="auto"/>
          <w:szCs w:val="25"/>
        </w:rPr>
        <w:t>s</w:t>
      </w:r>
      <w:r w:rsidR="00505998" w:rsidRPr="00751136">
        <w:rPr>
          <w:color w:val="auto"/>
          <w:lang w:val="en-GB"/>
        </w:rPr>
        <w:t xml:space="preserve"> of comprehensive income for the </w:t>
      </w:r>
      <w:r w:rsidR="00952DD5" w:rsidRPr="00751136">
        <w:rPr>
          <w:color w:val="auto"/>
          <w:lang w:val="en-GB"/>
        </w:rPr>
        <w:t>year</w:t>
      </w:r>
      <w:r w:rsidR="00505998" w:rsidRPr="00751136">
        <w:rPr>
          <w:color w:val="auto"/>
          <w:lang w:val="en-GB"/>
        </w:rPr>
        <w:t xml:space="preserve"> ended </w:t>
      </w:r>
      <w:r w:rsidR="001659E8" w:rsidRPr="00751136">
        <w:rPr>
          <w:color w:val="auto"/>
          <w:lang w:val="en-GB"/>
        </w:rPr>
        <w:t>31</w:t>
      </w:r>
      <w:r w:rsidR="00505998" w:rsidRPr="00751136">
        <w:rPr>
          <w:color w:val="auto"/>
          <w:lang w:val="en-GB"/>
        </w:rPr>
        <w:t xml:space="preserve"> December</w:t>
      </w:r>
      <w:r w:rsidR="00EC3EA9" w:rsidRPr="00751136">
        <w:rPr>
          <w:color w:val="auto"/>
          <w:lang w:val="en-GB"/>
        </w:rPr>
        <w:t xml:space="preserve"> </w:t>
      </w:r>
      <w:r w:rsidR="00633837" w:rsidRPr="00751136">
        <w:rPr>
          <w:color w:val="auto"/>
          <w:lang w:val="en-GB"/>
        </w:rPr>
        <w:t xml:space="preserve">2025 and for the period from 22 August 2024 to 31 December 2024 </w:t>
      </w:r>
      <w:r w:rsidR="00505998" w:rsidRPr="00751136">
        <w:rPr>
          <w:color w:val="auto"/>
          <w:lang w:val="en-GB"/>
        </w:rPr>
        <w:t>show the following amount relating to lease liabilities:</w:t>
      </w:r>
    </w:p>
    <w:p w14:paraId="0780C6EB" w14:textId="77777777" w:rsidR="00722BB0" w:rsidRPr="00751136" w:rsidRDefault="00722BB0" w:rsidP="0003043C">
      <w:pPr>
        <w:pStyle w:val="BodyTextIndent"/>
        <w:tabs>
          <w:tab w:val="right" w:pos="9360"/>
        </w:tabs>
        <w:ind w:left="0"/>
        <w:rPr>
          <w:color w:val="auto"/>
          <w:szCs w:val="20"/>
          <w:lang w:val="en-GB"/>
        </w:rPr>
      </w:pPr>
    </w:p>
    <w:tbl>
      <w:tblPr>
        <w:tblW w:w="9029" w:type="dxa"/>
        <w:tblInd w:w="108" w:type="dxa"/>
        <w:tblLayout w:type="fixed"/>
        <w:tblLook w:val="0000" w:firstRow="0" w:lastRow="0" w:firstColumn="0" w:lastColumn="0" w:noHBand="0" w:noVBand="0"/>
      </w:tblPr>
      <w:tblGrid>
        <w:gridCol w:w="5670"/>
        <w:gridCol w:w="1701"/>
        <w:gridCol w:w="1658"/>
      </w:tblGrid>
      <w:tr w:rsidR="00333FEB" w:rsidRPr="00751136" w14:paraId="608C5E9D" w14:textId="77777777" w:rsidTr="00633837">
        <w:tc>
          <w:tcPr>
            <w:tcW w:w="5670" w:type="dxa"/>
            <w:vAlign w:val="bottom"/>
          </w:tcPr>
          <w:p w14:paraId="3508608E" w14:textId="77777777" w:rsidR="00333FEB" w:rsidRPr="00751136" w:rsidRDefault="00333FEB" w:rsidP="0003043C">
            <w:pPr>
              <w:pStyle w:val="BodyTextIndent"/>
              <w:ind w:left="-101"/>
              <w:jc w:val="left"/>
              <w:rPr>
                <w:color w:val="auto"/>
                <w:szCs w:val="20"/>
                <w:lang w:val="en-GB"/>
              </w:rPr>
            </w:pPr>
          </w:p>
        </w:tc>
        <w:tc>
          <w:tcPr>
            <w:tcW w:w="1701" w:type="dxa"/>
            <w:vAlign w:val="bottom"/>
          </w:tcPr>
          <w:p w14:paraId="1D6D082C" w14:textId="77777777" w:rsidR="00333FEB" w:rsidRPr="00751136" w:rsidRDefault="00333FEB" w:rsidP="0003043C">
            <w:pPr>
              <w:pStyle w:val="BodyTextIndent"/>
              <w:ind w:left="0" w:right="-72"/>
              <w:jc w:val="right"/>
              <w:rPr>
                <w:b/>
                <w:bCs/>
                <w:color w:val="auto"/>
                <w:szCs w:val="20"/>
                <w:lang w:val="en-GB" w:eastAsia="th-TH"/>
              </w:rPr>
            </w:pPr>
          </w:p>
        </w:tc>
        <w:tc>
          <w:tcPr>
            <w:tcW w:w="1658" w:type="dxa"/>
            <w:vAlign w:val="bottom"/>
          </w:tcPr>
          <w:p w14:paraId="04169D0F" w14:textId="77777777" w:rsidR="00333FEB" w:rsidRPr="00751136" w:rsidRDefault="00333FEB" w:rsidP="0003043C">
            <w:pPr>
              <w:pStyle w:val="BodyTextIndent"/>
              <w:ind w:left="0" w:right="-72"/>
              <w:jc w:val="right"/>
              <w:rPr>
                <w:b/>
                <w:bCs/>
                <w:color w:val="auto"/>
                <w:szCs w:val="20"/>
                <w:lang w:val="en-GB"/>
              </w:rPr>
            </w:pPr>
            <w:r w:rsidRPr="00751136">
              <w:rPr>
                <w:b/>
                <w:bCs/>
                <w:color w:val="auto"/>
                <w:szCs w:val="20"/>
                <w:lang w:val="en-GB"/>
              </w:rPr>
              <w:t>For the</w:t>
            </w:r>
          </w:p>
          <w:p w14:paraId="7293EAC3" w14:textId="77777777" w:rsidR="00333FEB" w:rsidRPr="00751136" w:rsidRDefault="00333FEB" w:rsidP="0003043C">
            <w:pPr>
              <w:pStyle w:val="BodyTextIndent"/>
              <w:ind w:left="0" w:right="-72"/>
              <w:jc w:val="right"/>
              <w:rPr>
                <w:b/>
                <w:bCs/>
                <w:color w:val="auto"/>
                <w:szCs w:val="20"/>
                <w:lang w:val="en-GB"/>
              </w:rPr>
            </w:pPr>
            <w:r w:rsidRPr="00751136">
              <w:rPr>
                <w:b/>
                <w:bCs/>
                <w:color w:val="auto"/>
                <w:szCs w:val="20"/>
                <w:lang w:val="en-GB"/>
              </w:rPr>
              <w:t xml:space="preserve"> period</w:t>
            </w:r>
            <w:r w:rsidRPr="00751136">
              <w:rPr>
                <w:b/>
                <w:bCs/>
                <w:szCs w:val="20"/>
                <w:lang w:val="en-GB"/>
              </w:rPr>
              <w:t xml:space="preserve"> </w:t>
            </w:r>
            <w:r w:rsidRPr="00751136">
              <w:rPr>
                <w:b/>
                <w:bCs/>
                <w:color w:val="auto"/>
                <w:szCs w:val="20"/>
                <w:lang w:val="en-GB"/>
              </w:rPr>
              <w:t xml:space="preserve">from </w:t>
            </w:r>
          </w:p>
          <w:p w14:paraId="2FA24263" w14:textId="77777777" w:rsidR="00333FEB" w:rsidRPr="00751136" w:rsidRDefault="00333FEB" w:rsidP="0003043C">
            <w:pPr>
              <w:pStyle w:val="BodyTextIndent"/>
              <w:ind w:left="0" w:right="-72"/>
              <w:jc w:val="right"/>
              <w:rPr>
                <w:b/>
                <w:bCs/>
                <w:szCs w:val="20"/>
                <w:lang w:val="en-GB"/>
              </w:rPr>
            </w:pPr>
            <w:r w:rsidRPr="00751136">
              <w:rPr>
                <w:b/>
                <w:bCs/>
                <w:color w:val="auto"/>
                <w:szCs w:val="20"/>
                <w:lang w:val="en-GB"/>
              </w:rPr>
              <w:t>22 August 2024</w:t>
            </w:r>
            <w:r w:rsidRPr="00751136">
              <w:rPr>
                <w:b/>
                <w:bCs/>
                <w:szCs w:val="20"/>
                <w:lang w:val="en-GB"/>
              </w:rPr>
              <w:t xml:space="preserve"> </w:t>
            </w:r>
          </w:p>
          <w:p w14:paraId="7ADF38A0" w14:textId="7ED99A11" w:rsidR="00333FEB" w:rsidRPr="00751136" w:rsidRDefault="00333FEB" w:rsidP="0003043C">
            <w:pPr>
              <w:pStyle w:val="BodyTextIndent"/>
              <w:ind w:left="0" w:right="-72"/>
              <w:jc w:val="right"/>
              <w:rPr>
                <w:b/>
                <w:bCs/>
                <w:color w:val="auto"/>
                <w:szCs w:val="20"/>
                <w:lang w:val="en-GB"/>
              </w:rPr>
            </w:pPr>
            <w:r w:rsidRPr="00751136">
              <w:rPr>
                <w:b/>
                <w:bCs/>
                <w:color w:val="auto"/>
                <w:szCs w:val="20"/>
                <w:lang w:val="en-GB"/>
              </w:rPr>
              <w:t xml:space="preserve">to 31 December  </w:t>
            </w:r>
          </w:p>
        </w:tc>
      </w:tr>
      <w:tr w:rsidR="009F10C8" w:rsidRPr="00751136" w14:paraId="798525C9" w14:textId="77777777" w:rsidTr="00633837">
        <w:tc>
          <w:tcPr>
            <w:tcW w:w="5670" w:type="dxa"/>
            <w:vAlign w:val="bottom"/>
          </w:tcPr>
          <w:p w14:paraId="4EDF1B52" w14:textId="77777777" w:rsidR="009F10C8" w:rsidRPr="00751136" w:rsidRDefault="009F10C8" w:rsidP="0003043C">
            <w:pPr>
              <w:pStyle w:val="BodyTextIndent"/>
              <w:ind w:left="-101"/>
              <w:jc w:val="left"/>
              <w:rPr>
                <w:color w:val="auto"/>
                <w:szCs w:val="20"/>
                <w:lang w:val="en-GB"/>
              </w:rPr>
            </w:pPr>
          </w:p>
        </w:tc>
        <w:tc>
          <w:tcPr>
            <w:tcW w:w="1701" w:type="dxa"/>
            <w:vAlign w:val="bottom"/>
          </w:tcPr>
          <w:p w14:paraId="77724987" w14:textId="4AA75300" w:rsidR="009F10C8" w:rsidRPr="00751136" w:rsidRDefault="009F10C8" w:rsidP="0003043C">
            <w:pPr>
              <w:pStyle w:val="BodyTextIndent"/>
              <w:ind w:left="0" w:right="-72"/>
              <w:jc w:val="right"/>
              <w:rPr>
                <w:b/>
                <w:bCs/>
                <w:color w:val="auto"/>
                <w:szCs w:val="20"/>
                <w:lang w:val="en-GB"/>
              </w:rPr>
            </w:pPr>
            <w:r w:rsidRPr="00751136">
              <w:rPr>
                <w:b/>
                <w:bCs/>
                <w:color w:val="auto"/>
                <w:szCs w:val="20"/>
                <w:lang w:val="en-GB" w:eastAsia="th-TH"/>
              </w:rPr>
              <w:t>2025</w:t>
            </w:r>
          </w:p>
        </w:tc>
        <w:tc>
          <w:tcPr>
            <w:tcW w:w="1658" w:type="dxa"/>
            <w:vAlign w:val="bottom"/>
          </w:tcPr>
          <w:p w14:paraId="674140B3" w14:textId="65EAB017" w:rsidR="009F10C8" w:rsidRPr="00751136" w:rsidRDefault="009F10C8" w:rsidP="0003043C">
            <w:pPr>
              <w:pStyle w:val="BodyTextIndent"/>
              <w:ind w:left="0" w:right="-72"/>
              <w:jc w:val="right"/>
              <w:rPr>
                <w:b/>
                <w:bCs/>
                <w:color w:val="auto"/>
                <w:szCs w:val="20"/>
                <w:lang w:val="en-GB"/>
              </w:rPr>
            </w:pPr>
            <w:r w:rsidRPr="00751136">
              <w:rPr>
                <w:b/>
                <w:bCs/>
                <w:color w:val="auto"/>
                <w:szCs w:val="20"/>
                <w:lang w:val="en-GB"/>
              </w:rPr>
              <w:t>2024</w:t>
            </w:r>
          </w:p>
        </w:tc>
      </w:tr>
      <w:tr w:rsidR="009F10C8" w:rsidRPr="00751136" w14:paraId="6AE775B7" w14:textId="77777777" w:rsidTr="00633837">
        <w:tc>
          <w:tcPr>
            <w:tcW w:w="5670" w:type="dxa"/>
            <w:vAlign w:val="bottom"/>
          </w:tcPr>
          <w:p w14:paraId="0407795F" w14:textId="77777777" w:rsidR="009F10C8" w:rsidRPr="00751136" w:rsidRDefault="009F10C8" w:rsidP="0003043C">
            <w:pPr>
              <w:pStyle w:val="BodyTextIndent"/>
              <w:ind w:left="-101"/>
              <w:jc w:val="left"/>
              <w:rPr>
                <w:color w:val="auto"/>
                <w:szCs w:val="20"/>
                <w:lang w:val="en-GB"/>
              </w:rPr>
            </w:pPr>
          </w:p>
        </w:tc>
        <w:tc>
          <w:tcPr>
            <w:tcW w:w="1701" w:type="dxa"/>
            <w:tcBorders>
              <w:bottom w:val="single" w:sz="4" w:space="0" w:color="auto"/>
            </w:tcBorders>
            <w:vAlign w:val="bottom"/>
          </w:tcPr>
          <w:p w14:paraId="053A5AAC" w14:textId="1027FE25"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Baht</w:t>
            </w:r>
          </w:p>
        </w:tc>
        <w:tc>
          <w:tcPr>
            <w:tcW w:w="1658" w:type="dxa"/>
            <w:tcBorders>
              <w:bottom w:val="single" w:sz="4" w:space="0" w:color="auto"/>
            </w:tcBorders>
            <w:vAlign w:val="bottom"/>
          </w:tcPr>
          <w:p w14:paraId="5ED68190" w14:textId="767BC4D0" w:rsidR="009F10C8" w:rsidRPr="00751136" w:rsidRDefault="009F10C8" w:rsidP="0003043C">
            <w:pPr>
              <w:pStyle w:val="BodyTextIndent"/>
              <w:ind w:left="0" w:right="-72"/>
              <w:jc w:val="right"/>
              <w:rPr>
                <w:b/>
                <w:bCs/>
                <w:color w:val="auto"/>
                <w:szCs w:val="20"/>
              </w:rPr>
            </w:pPr>
            <w:r w:rsidRPr="00751136">
              <w:rPr>
                <w:b/>
                <w:bCs/>
                <w:color w:val="auto"/>
                <w:szCs w:val="20"/>
              </w:rPr>
              <w:t>Baht</w:t>
            </w:r>
          </w:p>
        </w:tc>
      </w:tr>
      <w:tr w:rsidR="009F10C8" w:rsidRPr="00751136" w14:paraId="71732DEA" w14:textId="77777777" w:rsidTr="00633837">
        <w:tc>
          <w:tcPr>
            <w:tcW w:w="5670" w:type="dxa"/>
            <w:vAlign w:val="bottom"/>
          </w:tcPr>
          <w:p w14:paraId="4C9BDAA7" w14:textId="77777777" w:rsidR="009F10C8" w:rsidRPr="00751136" w:rsidRDefault="009F10C8" w:rsidP="0003043C">
            <w:pPr>
              <w:pStyle w:val="BodyTextIndent"/>
              <w:ind w:left="-101"/>
              <w:jc w:val="left"/>
              <w:rPr>
                <w:color w:val="auto"/>
                <w:szCs w:val="20"/>
                <w:lang w:val="en-GB"/>
              </w:rPr>
            </w:pPr>
          </w:p>
        </w:tc>
        <w:tc>
          <w:tcPr>
            <w:tcW w:w="1701" w:type="dxa"/>
            <w:tcBorders>
              <w:top w:val="single" w:sz="4" w:space="0" w:color="auto"/>
            </w:tcBorders>
          </w:tcPr>
          <w:p w14:paraId="05E83113" w14:textId="77777777" w:rsidR="009F10C8" w:rsidRPr="00751136" w:rsidRDefault="009F10C8" w:rsidP="0003043C">
            <w:pPr>
              <w:pStyle w:val="BodyTextIndent"/>
              <w:ind w:left="0" w:right="-72"/>
              <w:jc w:val="right"/>
              <w:rPr>
                <w:color w:val="auto"/>
                <w:szCs w:val="20"/>
                <w:lang w:val="en-GB"/>
              </w:rPr>
            </w:pPr>
          </w:p>
        </w:tc>
        <w:tc>
          <w:tcPr>
            <w:tcW w:w="1658" w:type="dxa"/>
            <w:tcBorders>
              <w:top w:val="single" w:sz="4" w:space="0" w:color="auto"/>
            </w:tcBorders>
          </w:tcPr>
          <w:p w14:paraId="28626861" w14:textId="2AB53CBF" w:rsidR="009F10C8" w:rsidRPr="00751136" w:rsidRDefault="009F10C8" w:rsidP="0003043C">
            <w:pPr>
              <w:pStyle w:val="BodyTextIndent"/>
              <w:ind w:left="0" w:right="-72"/>
              <w:jc w:val="right"/>
              <w:rPr>
                <w:color w:val="auto"/>
                <w:szCs w:val="20"/>
                <w:lang w:val="en-GB"/>
              </w:rPr>
            </w:pPr>
          </w:p>
        </w:tc>
      </w:tr>
      <w:tr w:rsidR="009F10C8" w:rsidRPr="00751136" w14:paraId="25054B00" w14:textId="77777777" w:rsidTr="00633837">
        <w:tc>
          <w:tcPr>
            <w:tcW w:w="5670" w:type="dxa"/>
            <w:vAlign w:val="bottom"/>
          </w:tcPr>
          <w:p w14:paraId="602C73E6" w14:textId="7EDF8090" w:rsidR="009F10C8" w:rsidRPr="00751136" w:rsidRDefault="009F10C8" w:rsidP="0003043C">
            <w:pPr>
              <w:pStyle w:val="BodyTextIndent"/>
              <w:tabs>
                <w:tab w:val="left" w:pos="972"/>
              </w:tabs>
              <w:ind w:left="-101"/>
              <w:jc w:val="left"/>
              <w:rPr>
                <w:color w:val="auto"/>
                <w:spacing w:val="8"/>
                <w:szCs w:val="20"/>
              </w:rPr>
            </w:pPr>
            <w:bookmarkStart w:id="8" w:name="OLE_LINK6"/>
            <w:r w:rsidRPr="00751136">
              <w:rPr>
                <w:color w:val="auto"/>
                <w:spacing w:val="-2"/>
                <w:szCs w:val="20"/>
                <w:lang w:val="en-GB"/>
              </w:rPr>
              <w:t>Finance costs</w:t>
            </w:r>
          </w:p>
        </w:tc>
        <w:tc>
          <w:tcPr>
            <w:tcW w:w="1701" w:type="dxa"/>
            <w:tcBorders>
              <w:bottom w:val="single" w:sz="4" w:space="0" w:color="auto"/>
            </w:tcBorders>
          </w:tcPr>
          <w:p w14:paraId="5C9774D3" w14:textId="76DBF5B0" w:rsidR="009F10C8" w:rsidRPr="00751136" w:rsidRDefault="00F61430" w:rsidP="0003043C">
            <w:pPr>
              <w:ind w:right="-72"/>
              <w:jc w:val="right"/>
              <w:rPr>
                <w:color w:val="auto"/>
                <w:lang w:val="en-GB"/>
              </w:rPr>
            </w:pPr>
            <w:r w:rsidRPr="00751136">
              <w:rPr>
                <w:color w:val="auto"/>
                <w:lang w:val="en-GB"/>
              </w:rPr>
              <w:t>367,892,275</w:t>
            </w:r>
          </w:p>
        </w:tc>
        <w:tc>
          <w:tcPr>
            <w:tcW w:w="1658" w:type="dxa"/>
            <w:tcBorders>
              <w:bottom w:val="single" w:sz="4" w:space="0" w:color="auto"/>
            </w:tcBorders>
          </w:tcPr>
          <w:p w14:paraId="78E5CE41" w14:textId="37AF5688" w:rsidR="009F10C8" w:rsidRPr="00751136" w:rsidRDefault="009F10C8" w:rsidP="0003043C">
            <w:pPr>
              <w:ind w:right="-72"/>
              <w:jc w:val="right"/>
              <w:rPr>
                <w:color w:val="auto"/>
                <w:lang w:val="en-GB"/>
              </w:rPr>
            </w:pPr>
            <w:r w:rsidRPr="00751136">
              <w:rPr>
                <w:color w:val="auto"/>
                <w:lang w:val="en-GB"/>
              </w:rPr>
              <w:t>88,778,284</w:t>
            </w:r>
          </w:p>
        </w:tc>
      </w:tr>
      <w:tr w:rsidR="009F10C8" w:rsidRPr="00751136" w14:paraId="3888E95B" w14:textId="77777777" w:rsidTr="00633837">
        <w:tc>
          <w:tcPr>
            <w:tcW w:w="5670" w:type="dxa"/>
            <w:vAlign w:val="bottom"/>
          </w:tcPr>
          <w:p w14:paraId="571AFCF7" w14:textId="77777777" w:rsidR="009F10C8" w:rsidRPr="00751136" w:rsidRDefault="009F10C8" w:rsidP="0003043C">
            <w:pPr>
              <w:pStyle w:val="BodyTextIndent"/>
              <w:ind w:left="-101"/>
              <w:jc w:val="left"/>
              <w:rPr>
                <w:color w:val="auto"/>
                <w:szCs w:val="20"/>
                <w:lang w:val="en-GB"/>
              </w:rPr>
            </w:pPr>
          </w:p>
        </w:tc>
        <w:tc>
          <w:tcPr>
            <w:tcW w:w="1701" w:type="dxa"/>
            <w:tcBorders>
              <w:top w:val="single" w:sz="4" w:space="0" w:color="auto"/>
            </w:tcBorders>
          </w:tcPr>
          <w:p w14:paraId="240CDACB" w14:textId="77777777" w:rsidR="009F10C8" w:rsidRPr="00751136" w:rsidRDefault="009F10C8" w:rsidP="0003043C">
            <w:pPr>
              <w:pStyle w:val="BodyTextIndent"/>
              <w:ind w:left="0" w:right="-72"/>
              <w:jc w:val="right"/>
              <w:rPr>
                <w:color w:val="auto"/>
                <w:szCs w:val="20"/>
                <w:lang w:val="en-GB"/>
              </w:rPr>
            </w:pPr>
          </w:p>
        </w:tc>
        <w:tc>
          <w:tcPr>
            <w:tcW w:w="1658" w:type="dxa"/>
            <w:tcBorders>
              <w:top w:val="single" w:sz="4" w:space="0" w:color="auto"/>
            </w:tcBorders>
          </w:tcPr>
          <w:p w14:paraId="17A8C5C8" w14:textId="39699F31" w:rsidR="009F10C8" w:rsidRPr="00751136" w:rsidRDefault="009F10C8" w:rsidP="0003043C">
            <w:pPr>
              <w:pStyle w:val="BodyTextIndent"/>
              <w:ind w:left="0" w:right="-72"/>
              <w:jc w:val="right"/>
              <w:rPr>
                <w:color w:val="auto"/>
                <w:szCs w:val="20"/>
                <w:lang w:val="en-GB"/>
              </w:rPr>
            </w:pPr>
          </w:p>
        </w:tc>
      </w:tr>
      <w:tr w:rsidR="009F10C8" w:rsidRPr="00751136" w14:paraId="2C389EEE" w14:textId="77777777" w:rsidTr="00633837">
        <w:tc>
          <w:tcPr>
            <w:tcW w:w="5670" w:type="dxa"/>
            <w:vAlign w:val="bottom"/>
          </w:tcPr>
          <w:p w14:paraId="776D245E" w14:textId="2AF6E58C" w:rsidR="009F10C8" w:rsidRPr="00751136" w:rsidRDefault="009F10C8" w:rsidP="0003043C">
            <w:pPr>
              <w:pStyle w:val="BodyTextIndent"/>
              <w:tabs>
                <w:tab w:val="left" w:pos="972"/>
              </w:tabs>
              <w:ind w:left="-101"/>
              <w:jc w:val="left"/>
              <w:rPr>
                <w:color w:val="auto"/>
                <w:szCs w:val="20"/>
              </w:rPr>
            </w:pPr>
            <w:r w:rsidRPr="00751136">
              <w:rPr>
                <w:color w:val="auto"/>
                <w:szCs w:val="20"/>
              </w:rPr>
              <w:t>Total Finance costs</w:t>
            </w:r>
          </w:p>
        </w:tc>
        <w:tc>
          <w:tcPr>
            <w:tcW w:w="1701" w:type="dxa"/>
            <w:tcBorders>
              <w:bottom w:val="single" w:sz="4" w:space="0" w:color="auto"/>
            </w:tcBorders>
          </w:tcPr>
          <w:p w14:paraId="5215015C" w14:textId="3325E48A" w:rsidR="009F10C8" w:rsidRPr="00751136" w:rsidRDefault="00F61430" w:rsidP="0003043C">
            <w:pPr>
              <w:ind w:right="-72"/>
              <w:jc w:val="right"/>
              <w:rPr>
                <w:color w:val="auto"/>
                <w:lang w:val="en-GB"/>
              </w:rPr>
            </w:pPr>
            <w:r w:rsidRPr="00751136">
              <w:rPr>
                <w:color w:val="auto"/>
                <w:lang w:val="en-GB"/>
              </w:rPr>
              <w:t>367,892,275</w:t>
            </w:r>
          </w:p>
        </w:tc>
        <w:tc>
          <w:tcPr>
            <w:tcW w:w="1658" w:type="dxa"/>
            <w:tcBorders>
              <w:bottom w:val="single" w:sz="4" w:space="0" w:color="auto"/>
            </w:tcBorders>
          </w:tcPr>
          <w:p w14:paraId="75EBC015" w14:textId="1C3255DF" w:rsidR="009F10C8" w:rsidRPr="00751136" w:rsidRDefault="009F10C8" w:rsidP="0003043C">
            <w:pPr>
              <w:ind w:right="-72"/>
              <w:jc w:val="right"/>
              <w:rPr>
                <w:color w:val="auto"/>
                <w:cs/>
                <w:lang w:val="en-GB"/>
              </w:rPr>
            </w:pPr>
            <w:r w:rsidRPr="00751136">
              <w:rPr>
                <w:color w:val="auto"/>
                <w:lang w:val="en-GB"/>
              </w:rPr>
              <w:t>88,778,284</w:t>
            </w:r>
          </w:p>
        </w:tc>
      </w:tr>
      <w:bookmarkEnd w:id="8"/>
    </w:tbl>
    <w:p w14:paraId="6952742C" w14:textId="77777777" w:rsidR="00924BF8" w:rsidRPr="00751136" w:rsidRDefault="00924BF8" w:rsidP="0003043C">
      <w:pPr>
        <w:jc w:val="both"/>
        <w:rPr>
          <w:color w:val="auto"/>
          <w:lang w:val="en-GB"/>
        </w:rPr>
      </w:pPr>
    </w:p>
    <w:p w14:paraId="1EC42F7E" w14:textId="753D0396" w:rsidR="007B6F94" w:rsidRPr="00751136" w:rsidRDefault="00AB1305" w:rsidP="0003043C">
      <w:pPr>
        <w:pStyle w:val="BodyTextIndent"/>
        <w:tabs>
          <w:tab w:val="right" w:pos="9360"/>
        </w:tabs>
        <w:ind w:left="0"/>
        <w:rPr>
          <w:color w:val="auto"/>
          <w:szCs w:val="20"/>
          <w:lang w:val="en-GB"/>
        </w:rPr>
      </w:pPr>
      <w:r w:rsidRPr="00751136">
        <w:rPr>
          <w:color w:val="auto"/>
          <w:szCs w:val="20"/>
          <w:lang w:val="en-GB"/>
        </w:rPr>
        <w:t>There is n</w:t>
      </w:r>
      <w:r w:rsidR="007B6F94" w:rsidRPr="00751136">
        <w:rPr>
          <w:color w:val="auto"/>
          <w:szCs w:val="20"/>
          <w:lang w:val="en-GB"/>
        </w:rPr>
        <w:t>o cash out</w:t>
      </w:r>
      <w:r w:rsidRPr="00751136">
        <w:rPr>
          <w:color w:val="auto"/>
          <w:szCs w:val="20"/>
          <w:lang w:val="en-GB"/>
        </w:rPr>
        <w:t>flow</w:t>
      </w:r>
      <w:r w:rsidR="007B6F94" w:rsidRPr="00751136">
        <w:rPr>
          <w:color w:val="auto"/>
          <w:szCs w:val="20"/>
          <w:lang w:val="en-GB"/>
        </w:rPr>
        <w:t xml:space="preserve"> for the lease repayment during the </w:t>
      </w:r>
      <w:r w:rsidR="00952DD5" w:rsidRPr="00751136">
        <w:rPr>
          <w:color w:val="auto"/>
          <w:szCs w:val="20"/>
          <w:lang w:val="en-GB"/>
        </w:rPr>
        <w:t>year</w:t>
      </w:r>
      <w:r w:rsidR="007B6F94" w:rsidRPr="00751136">
        <w:rPr>
          <w:color w:val="auto"/>
          <w:szCs w:val="20"/>
          <w:lang w:val="en-GB"/>
        </w:rPr>
        <w:t xml:space="preserve"> ended </w:t>
      </w:r>
      <w:r w:rsidR="001659E8" w:rsidRPr="00751136">
        <w:rPr>
          <w:color w:val="auto"/>
          <w:szCs w:val="20"/>
          <w:lang w:val="en-GB"/>
        </w:rPr>
        <w:t>31</w:t>
      </w:r>
      <w:r w:rsidR="007B6F94" w:rsidRPr="00751136">
        <w:rPr>
          <w:color w:val="auto"/>
          <w:szCs w:val="20"/>
          <w:lang w:val="en-GB"/>
        </w:rPr>
        <w:t xml:space="preserve"> December </w:t>
      </w:r>
      <w:r w:rsidR="00E553D2" w:rsidRPr="00751136">
        <w:rPr>
          <w:color w:val="auto"/>
          <w:szCs w:val="20"/>
          <w:lang w:val="en-GB"/>
        </w:rPr>
        <w:t>202</w:t>
      </w:r>
      <w:r w:rsidR="00C8731B" w:rsidRPr="00751136">
        <w:rPr>
          <w:color w:val="auto"/>
          <w:szCs w:val="20"/>
          <w:lang w:val="en-GB"/>
        </w:rPr>
        <w:t>5</w:t>
      </w:r>
      <w:r w:rsidR="007B6F94" w:rsidRPr="00751136">
        <w:rPr>
          <w:color w:val="auto"/>
          <w:szCs w:val="20"/>
          <w:lang w:val="en-GB"/>
        </w:rPr>
        <w:t>.</w:t>
      </w:r>
    </w:p>
    <w:p w14:paraId="4DC9C39E" w14:textId="77777777" w:rsidR="00BE7AA3" w:rsidRPr="00751136" w:rsidRDefault="00BE7AA3" w:rsidP="0003043C">
      <w:pPr>
        <w:ind w:left="540" w:hanging="540"/>
        <w:jc w:val="both"/>
        <w:rPr>
          <w:color w:val="auto"/>
          <w:lang w:val="en-GB"/>
        </w:rPr>
      </w:pPr>
    </w:p>
    <w:p w14:paraId="5A9AC9D4" w14:textId="77777777" w:rsidR="00722BB0" w:rsidRPr="00751136" w:rsidRDefault="00722BB0" w:rsidP="0003043C">
      <w:pPr>
        <w:ind w:left="540" w:hanging="540"/>
        <w:jc w:val="both"/>
        <w:rPr>
          <w:color w:val="auto"/>
          <w:lang w:val="en-GB"/>
        </w:rPr>
      </w:pPr>
    </w:p>
    <w:p w14:paraId="0C94AC31" w14:textId="77F7057F" w:rsidR="00254FDD" w:rsidRPr="00751136" w:rsidRDefault="002324FE" w:rsidP="0003043C">
      <w:pPr>
        <w:ind w:left="540" w:hanging="540"/>
        <w:jc w:val="both"/>
        <w:rPr>
          <w:b/>
          <w:bCs/>
          <w:color w:val="auto"/>
        </w:rPr>
      </w:pPr>
      <w:r w:rsidRPr="00751136">
        <w:rPr>
          <w:b/>
          <w:bCs/>
          <w:color w:val="auto"/>
          <w:lang w:val="en-GB"/>
        </w:rPr>
        <w:t>9</w:t>
      </w:r>
      <w:r w:rsidR="00254FDD" w:rsidRPr="00751136">
        <w:rPr>
          <w:b/>
          <w:bCs/>
          <w:color w:val="auto"/>
        </w:rPr>
        <w:tab/>
        <w:t>Capital received from unitholders</w:t>
      </w:r>
    </w:p>
    <w:p w14:paraId="3B72BC4F" w14:textId="4C8B395A" w:rsidR="00254FDD" w:rsidRPr="00751136" w:rsidRDefault="00254FDD" w:rsidP="0003043C">
      <w:pPr>
        <w:jc w:val="both"/>
        <w:rPr>
          <w:color w:val="auto"/>
          <w:lang w:val="en-GB"/>
        </w:rPr>
      </w:pPr>
    </w:p>
    <w:p w14:paraId="79ADF8BC" w14:textId="021FE4DE" w:rsidR="00254FDD" w:rsidRPr="00751136" w:rsidRDefault="00254FDD" w:rsidP="0003043C">
      <w:pPr>
        <w:pStyle w:val="BodyTextIndent"/>
        <w:tabs>
          <w:tab w:val="right" w:pos="9360"/>
        </w:tabs>
        <w:ind w:left="0"/>
        <w:rPr>
          <w:color w:val="auto"/>
          <w:szCs w:val="20"/>
        </w:rPr>
      </w:pPr>
      <w:r w:rsidRPr="00751136">
        <w:rPr>
          <w:color w:val="auto"/>
          <w:spacing w:val="-2"/>
          <w:szCs w:val="20"/>
        </w:rPr>
        <w:t xml:space="preserve">The movements of capital received from unitholders for the </w:t>
      </w:r>
      <w:r w:rsidR="00952DD5" w:rsidRPr="00751136">
        <w:rPr>
          <w:color w:val="auto"/>
          <w:spacing w:val="-2"/>
          <w:szCs w:val="20"/>
        </w:rPr>
        <w:t>year</w:t>
      </w:r>
      <w:r w:rsidRPr="00751136">
        <w:rPr>
          <w:color w:val="auto"/>
          <w:spacing w:val="-2"/>
          <w:szCs w:val="20"/>
        </w:rPr>
        <w:t xml:space="preserve"> ended </w:t>
      </w:r>
      <w:r w:rsidR="00F74BE8" w:rsidRPr="00751136">
        <w:rPr>
          <w:color w:val="auto"/>
          <w:spacing w:val="-2"/>
          <w:szCs w:val="20"/>
        </w:rPr>
        <w:t xml:space="preserve">31 December </w:t>
      </w:r>
      <w:r w:rsidR="009F10C8" w:rsidRPr="00751136">
        <w:rPr>
          <w:color w:val="auto"/>
          <w:spacing w:val="-2"/>
          <w:szCs w:val="20"/>
        </w:rPr>
        <w:t xml:space="preserve">2025 and </w:t>
      </w:r>
      <w:r w:rsidR="00E553D2" w:rsidRPr="00751136">
        <w:rPr>
          <w:color w:val="auto"/>
          <w:spacing w:val="-2"/>
          <w:szCs w:val="20"/>
        </w:rPr>
        <w:t>2024</w:t>
      </w:r>
      <w:r w:rsidRPr="00751136">
        <w:rPr>
          <w:color w:val="auto"/>
          <w:szCs w:val="20"/>
        </w:rPr>
        <w:t xml:space="preserve"> are as </w:t>
      </w:r>
      <w:proofErr w:type="gramStart"/>
      <w:r w:rsidRPr="00751136">
        <w:rPr>
          <w:color w:val="auto"/>
          <w:szCs w:val="20"/>
        </w:rPr>
        <w:t>follow</w:t>
      </w:r>
      <w:proofErr w:type="gramEnd"/>
      <w:r w:rsidRPr="00751136">
        <w:rPr>
          <w:color w:val="auto"/>
          <w:szCs w:val="20"/>
        </w:rPr>
        <w:t>:</w:t>
      </w:r>
    </w:p>
    <w:p w14:paraId="7BD7CDD0" w14:textId="77777777" w:rsidR="00722BB0" w:rsidRPr="00751136" w:rsidRDefault="00722BB0" w:rsidP="0003043C">
      <w:pPr>
        <w:pStyle w:val="BodyTextIndent"/>
        <w:tabs>
          <w:tab w:val="right" w:pos="9360"/>
        </w:tabs>
        <w:ind w:left="0"/>
        <w:rPr>
          <w:color w:val="auto"/>
          <w:szCs w:val="20"/>
        </w:rPr>
      </w:pPr>
    </w:p>
    <w:tbl>
      <w:tblPr>
        <w:tblW w:w="9018" w:type="dxa"/>
        <w:tblInd w:w="108" w:type="dxa"/>
        <w:tblLayout w:type="fixed"/>
        <w:tblLook w:val="0000" w:firstRow="0" w:lastRow="0" w:firstColumn="0" w:lastColumn="0" w:noHBand="0" w:noVBand="0"/>
      </w:tblPr>
      <w:tblGrid>
        <w:gridCol w:w="3119"/>
        <w:gridCol w:w="1417"/>
        <w:gridCol w:w="1602"/>
        <w:gridCol w:w="1440"/>
        <w:gridCol w:w="1440"/>
      </w:tblGrid>
      <w:tr w:rsidR="009F10C8" w:rsidRPr="00751136" w14:paraId="50ACB14B" w14:textId="77777777" w:rsidTr="00C931BE">
        <w:tc>
          <w:tcPr>
            <w:tcW w:w="3119" w:type="dxa"/>
            <w:vAlign w:val="bottom"/>
          </w:tcPr>
          <w:p w14:paraId="4B72F161" w14:textId="77777777" w:rsidR="009F10C8" w:rsidRPr="00751136" w:rsidRDefault="009F10C8" w:rsidP="0003043C">
            <w:pPr>
              <w:pStyle w:val="BodyTextIndent"/>
              <w:ind w:left="-101"/>
              <w:jc w:val="left"/>
              <w:rPr>
                <w:color w:val="auto"/>
                <w:szCs w:val="20"/>
                <w:lang w:val="en-GB"/>
              </w:rPr>
            </w:pPr>
          </w:p>
        </w:tc>
        <w:tc>
          <w:tcPr>
            <w:tcW w:w="5899" w:type="dxa"/>
            <w:gridSpan w:val="4"/>
            <w:tcBorders>
              <w:bottom w:val="single" w:sz="4" w:space="0" w:color="auto"/>
            </w:tcBorders>
          </w:tcPr>
          <w:p w14:paraId="28BC08DC" w14:textId="50E77BDC" w:rsidR="009F10C8" w:rsidRPr="00751136" w:rsidRDefault="009F10C8" w:rsidP="0003043C">
            <w:pPr>
              <w:pStyle w:val="BodyTextIndent"/>
              <w:ind w:left="0" w:right="-72"/>
              <w:jc w:val="center"/>
              <w:rPr>
                <w:b/>
                <w:bCs/>
                <w:color w:val="auto"/>
                <w:szCs w:val="20"/>
              </w:rPr>
            </w:pPr>
            <w:r w:rsidRPr="00751136">
              <w:rPr>
                <w:b/>
                <w:bCs/>
                <w:color w:val="auto"/>
                <w:szCs w:val="20"/>
              </w:rPr>
              <w:t>Capital received from unitholders</w:t>
            </w:r>
          </w:p>
        </w:tc>
      </w:tr>
      <w:tr w:rsidR="009F10C8" w:rsidRPr="00751136" w14:paraId="1FD242C1" w14:textId="77777777" w:rsidTr="00C931BE">
        <w:tc>
          <w:tcPr>
            <w:tcW w:w="3119" w:type="dxa"/>
            <w:vAlign w:val="bottom"/>
          </w:tcPr>
          <w:p w14:paraId="7380B882" w14:textId="77777777" w:rsidR="009F10C8" w:rsidRPr="00751136" w:rsidRDefault="009F10C8" w:rsidP="0003043C">
            <w:pPr>
              <w:pStyle w:val="BodyTextIndent"/>
              <w:ind w:left="-101"/>
              <w:jc w:val="left"/>
              <w:rPr>
                <w:color w:val="auto"/>
                <w:szCs w:val="20"/>
                <w:lang w:val="en-GB"/>
              </w:rPr>
            </w:pPr>
          </w:p>
        </w:tc>
        <w:tc>
          <w:tcPr>
            <w:tcW w:w="3019" w:type="dxa"/>
            <w:gridSpan w:val="2"/>
            <w:tcBorders>
              <w:top w:val="single" w:sz="4" w:space="0" w:color="auto"/>
              <w:bottom w:val="single" w:sz="4" w:space="0" w:color="auto"/>
            </w:tcBorders>
            <w:vAlign w:val="bottom"/>
          </w:tcPr>
          <w:p w14:paraId="47FD75BE" w14:textId="5F7B7A69" w:rsidR="009F10C8" w:rsidRPr="00751136" w:rsidRDefault="009F10C8" w:rsidP="0003043C">
            <w:pPr>
              <w:pStyle w:val="BodyTextIndent"/>
              <w:ind w:left="0" w:right="-72"/>
              <w:jc w:val="center"/>
              <w:rPr>
                <w:b/>
                <w:bCs/>
                <w:color w:val="auto"/>
                <w:szCs w:val="20"/>
                <w:lang w:val="en-GB"/>
              </w:rPr>
            </w:pPr>
            <w:r w:rsidRPr="00751136">
              <w:rPr>
                <w:b/>
                <w:bCs/>
                <w:color w:val="auto"/>
                <w:szCs w:val="20"/>
                <w:lang w:val="en-GB" w:eastAsia="th-TH"/>
              </w:rPr>
              <w:t>2025</w:t>
            </w:r>
          </w:p>
        </w:tc>
        <w:tc>
          <w:tcPr>
            <w:tcW w:w="2880" w:type="dxa"/>
            <w:gridSpan w:val="2"/>
            <w:tcBorders>
              <w:top w:val="single" w:sz="4" w:space="0" w:color="auto"/>
              <w:bottom w:val="single" w:sz="4" w:space="0" w:color="auto"/>
            </w:tcBorders>
            <w:vAlign w:val="bottom"/>
          </w:tcPr>
          <w:p w14:paraId="0BE9B505" w14:textId="1F13F686" w:rsidR="009F10C8" w:rsidRPr="00751136" w:rsidRDefault="009F10C8" w:rsidP="0003043C">
            <w:pPr>
              <w:pStyle w:val="BodyTextIndent"/>
              <w:ind w:left="0" w:right="-72"/>
              <w:jc w:val="center"/>
              <w:rPr>
                <w:b/>
                <w:bCs/>
                <w:color w:val="auto"/>
                <w:szCs w:val="20"/>
              </w:rPr>
            </w:pPr>
            <w:r w:rsidRPr="00751136">
              <w:rPr>
                <w:b/>
                <w:bCs/>
                <w:color w:val="auto"/>
                <w:szCs w:val="20"/>
                <w:lang w:val="en-GB"/>
              </w:rPr>
              <w:t>2024</w:t>
            </w:r>
          </w:p>
        </w:tc>
      </w:tr>
      <w:tr w:rsidR="009F10C8" w:rsidRPr="00751136" w14:paraId="40FFF844" w14:textId="77777777" w:rsidTr="00667B5B">
        <w:tc>
          <w:tcPr>
            <w:tcW w:w="3119" w:type="dxa"/>
            <w:vAlign w:val="bottom"/>
          </w:tcPr>
          <w:p w14:paraId="037B2DFC" w14:textId="77777777" w:rsidR="009F10C8" w:rsidRPr="00751136" w:rsidRDefault="009F10C8" w:rsidP="0003043C">
            <w:pPr>
              <w:pStyle w:val="BodyTextIndent"/>
              <w:ind w:left="-101"/>
              <w:jc w:val="left"/>
              <w:rPr>
                <w:color w:val="auto"/>
                <w:szCs w:val="20"/>
                <w:lang w:val="en-GB"/>
              </w:rPr>
            </w:pPr>
          </w:p>
        </w:tc>
        <w:tc>
          <w:tcPr>
            <w:tcW w:w="1417" w:type="dxa"/>
            <w:tcBorders>
              <w:top w:val="single" w:sz="4" w:space="0" w:color="auto"/>
            </w:tcBorders>
            <w:vAlign w:val="bottom"/>
          </w:tcPr>
          <w:p w14:paraId="4B411B2C" w14:textId="77777777" w:rsidR="009F10C8" w:rsidRPr="00751136" w:rsidRDefault="009F10C8" w:rsidP="0003043C">
            <w:pPr>
              <w:pStyle w:val="BodyTextIndent"/>
              <w:ind w:left="0" w:right="-72"/>
              <w:jc w:val="right"/>
              <w:rPr>
                <w:b/>
                <w:bCs/>
                <w:color w:val="auto"/>
                <w:szCs w:val="20"/>
                <w:lang w:val="en-GB"/>
              </w:rPr>
            </w:pPr>
          </w:p>
        </w:tc>
        <w:tc>
          <w:tcPr>
            <w:tcW w:w="1602" w:type="dxa"/>
            <w:tcBorders>
              <w:top w:val="single" w:sz="4" w:space="0" w:color="auto"/>
            </w:tcBorders>
            <w:vAlign w:val="bottom"/>
          </w:tcPr>
          <w:p w14:paraId="5200F4BF" w14:textId="09309E05" w:rsidR="009F10C8" w:rsidRPr="00751136" w:rsidRDefault="009F10C8" w:rsidP="0003043C">
            <w:pPr>
              <w:pStyle w:val="BodyTextIndent"/>
              <w:ind w:left="0" w:right="-72"/>
              <w:jc w:val="right"/>
              <w:rPr>
                <w:b/>
                <w:bCs/>
                <w:color w:val="auto"/>
                <w:szCs w:val="20"/>
                <w:lang w:val="en-GB"/>
              </w:rPr>
            </w:pPr>
            <w:r w:rsidRPr="00751136">
              <w:rPr>
                <w:b/>
                <w:bCs/>
                <w:color w:val="auto"/>
                <w:szCs w:val="20"/>
              </w:rPr>
              <w:t>Amount</w:t>
            </w:r>
          </w:p>
        </w:tc>
        <w:tc>
          <w:tcPr>
            <w:tcW w:w="1440" w:type="dxa"/>
            <w:tcBorders>
              <w:top w:val="single" w:sz="4" w:space="0" w:color="auto"/>
            </w:tcBorders>
            <w:vAlign w:val="bottom"/>
          </w:tcPr>
          <w:p w14:paraId="279FDEA3" w14:textId="3FEF14E2" w:rsidR="009F10C8" w:rsidRPr="00751136" w:rsidRDefault="009F10C8" w:rsidP="0003043C">
            <w:pPr>
              <w:pStyle w:val="BodyTextIndent"/>
              <w:ind w:left="0" w:right="-72"/>
              <w:jc w:val="right"/>
              <w:rPr>
                <w:b/>
                <w:bCs/>
                <w:color w:val="auto"/>
                <w:szCs w:val="20"/>
                <w:lang w:val="en-GB"/>
              </w:rPr>
            </w:pPr>
          </w:p>
        </w:tc>
        <w:tc>
          <w:tcPr>
            <w:tcW w:w="1440" w:type="dxa"/>
            <w:tcBorders>
              <w:top w:val="single" w:sz="4" w:space="0" w:color="auto"/>
            </w:tcBorders>
            <w:vAlign w:val="bottom"/>
          </w:tcPr>
          <w:p w14:paraId="3B2CCEA2" w14:textId="33D7FC98" w:rsidR="009F10C8" w:rsidRPr="00751136" w:rsidRDefault="009F10C8" w:rsidP="0003043C">
            <w:pPr>
              <w:pStyle w:val="BodyTextIndent"/>
              <w:ind w:left="0" w:right="-72"/>
              <w:jc w:val="right"/>
              <w:rPr>
                <w:b/>
                <w:bCs/>
                <w:color w:val="auto"/>
                <w:szCs w:val="20"/>
              </w:rPr>
            </w:pPr>
            <w:r w:rsidRPr="00751136">
              <w:rPr>
                <w:b/>
                <w:bCs/>
                <w:color w:val="auto"/>
                <w:szCs w:val="20"/>
              </w:rPr>
              <w:t>Amount</w:t>
            </w:r>
          </w:p>
        </w:tc>
      </w:tr>
      <w:tr w:rsidR="009F10C8" w:rsidRPr="00751136" w14:paraId="7F5F96F2" w14:textId="77777777" w:rsidTr="00667B5B">
        <w:tc>
          <w:tcPr>
            <w:tcW w:w="3119" w:type="dxa"/>
            <w:vAlign w:val="bottom"/>
          </w:tcPr>
          <w:p w14:paraId="36E41342" w14:textId="77777777" w:rsidR="009F10C8" w:rsidRPr="00751136" w:rsidRDefault="009F10C8" w:rsidP="0003043C">
            <w:pPr>
              <w:pStyle w:val="BodyTextIndent"/>
              <w:ind w:left="-101"/>
              <w:jc w:val="left"/>
              <w:rPr>
                <w:color w:val="auto"/>
                <w:szCs w:val="20"/>
                <w:lang w:val="en-GB"/>
              </w:rPr>
            </w:pPr>
          </w:p>
        </w:tc>
        <w:tc>
          <w:tcPr>
            <w:tcW w:w="1417" w:type="dxa"/>
            <w:tcBorders>
              <w:bottom w:val="single" w:sz="4" w:space="0" w:color="auto"/>
            </w:tcBorders>
            <w:vAlign w:val="bottom"/>
          </w:tcPr>
          <w:p w14:paraId="23096E0E" w14:textId="292ACA29" w:rsidR="009F10C8" w:rsidRPr="00751136" w:rsidRDefault="009F10C8" w:rsidP="0003043C">
            <w:pPr>
              <w:pStyle w:val="BodyTextIndent"/>
              <w:ind w:left="0" w:right="-72"/>
              <w:jc w:val="right"/>
              <w:rPr>
                <w:b/>
                <w:bCs/>
                <w:color w:val="auto"/>
                <w:szCs w:val="20"/>
              </w:rPr>
            </w:pPr>
            <w:r w:rsidRPr="00751136">
              <w:rPr>
                <w:b/>
                <w:bCs/>
                <w:color w:val="auto"/>
                <w:szCs w:val="20"/>
              </w:rPr>
              <w:t>Units</w:t>
            </w:r>
          </w:p>
        </w:tc>
        <w:tc>
          <w:tcPr>
            <w:tcW w:w="1602" w:type="dxa"/>
            <w:tcBorders>
              <w:bottom w:val="single" w:sz="4" w:space="0" w:color="auto"/>
            </w:tcBorders>
            <w:vAlign w:val="bottom"/>
          </w:tcPr>
          <w:p w14:paraId="46029498" w14:textId="699A3E0A" w:rsidR="009F10C8" w:rsidRPr="00751136" w:rsidRDefault="009F10C8" w:rsidP="0003043C">
            <w:pPr>
              <w:pStyle w:val="BodyTextIndent"/>
              <w:ind w:left="0" w:right="-72"/>
              <w:jc w:val="right"/>
              <w:rPr>
                <w:b/>
                <w:bCs/>
                <w:color w:val="auto"/>
                <w:szCs w:val="20"/>
              </w:rPr>
            </w:pPr>
            <w:r w:rsidRPr="00751136">
              <w:rPr>
                <w:b/>
                <w:bCs/>
                <w:color w:val="auto"/>
                <w:szCs w:val="20"/>
                <w:lang w:val="en-GB"/>
              </w:rPr>
              <w:t>Baht</w:t>
            </w:r>
          </w:p>
        </w:tc>
        <w:tc>
          <w:tcPr>
            <w:tcW w:w="1440" w:type="dxa"/>
            <w:tcBorders>
              <w:bottom w:val="single" w:sz="4" w:space="0" w:color="auto"/>
            </w:tcBorders>
            <w:vAlign w:val="bottom"/>
          </w:tcPr>
          <w:p w14:paraId="66C39A8C" w14:textId="09BA2AA4" w:rsidR="009F10C8" w:rsidRPr="00751136" w:rsidRDefault="009F10C8" w:rsidP="0003043C">
            <w:pPr>
              <w:pStyle w:val="BodyTextIndent"/>
              <w:ind w:left="0" w:right="-72"/>
              <w:jc w:val="right"/>
              <w:rPr>
                <w:b/>
                <w:bCs/>
                <w:color w:val="auto"/>
                <w:szCs w:val="20"/>
              </w:rPr>
            </w:pPr>
            <w:r w:rsidRPr="00751136">
              <w:rPr>
                <w:b/>
                <w:bCs/>
                <w:color w:val="auto"/>
                <w:szCs w:val="20"/>
              </w:rPr>
              <w:t>Units</w:t>
            </w:r>
          </w:p>
        </w:tc>
        <w:tc>
          <w:tcPr>
            <w:tcW w:w="1440" w:type="dxa"/>
            <w:tcBorders>
              <w:bottom w:val="single" w:sz="4" w:space="0" w:color="auto"/>
            </w:tcBorders>
            <w:vAlign w:val="bottom"/>
          </w:tcPr>
          <w:p w14:paraId="790CE950" w14:textId="106A9EE7" w:rsidR="009F10C8" w:rsidRPr="00751136" w:rsidRDefault="009F10C8" w:rsidP="0003043C">
            <w:pPr>
              <w:pStyle w:val="BodyTextIndent"/>
              <w:ind w:left="0" w:right="-72"/>
              <w:jc w:val="right"/>
              <w:rPr>
                <w:b/>
                <w:bCs/>
                <w:color w:val="auto"/>
                <w:szCs w:val="20"/>
                <w:lang w:val="en-GB"/>
              </w:rPr>
            </w:pPr>
            <w:r w:rsidRPr="00751136">
              <w:rPr>
                <w:b/>
                <w:bCs/>
                <w:color w:val="auto"/>
                <w:szCs w:val="20"/>
                <w:lang w:val="en-GB"/>
              </w:rPr>
              <w:t>Baht</w:t>
            </w:r>
          </w:p>
        </w:tc>
      </w:tr>
      <w:tr w:rsidR="009F10C8" w:rsidRPr="00751136" w14:paraId="67988562" w14:textId="77777777" w:rsidTr="00667B5B">
        <w:tc>
          <w:tcPr>
            <w:tcW w:w="3119" w:type="dxa"/>
            <w:vAlign w:val="bottom"/>
          </w:tcPr>
          <w:p w14:paraId="112ECFE8" w14:textId="77777777" w:rsidR="009F10C8" w:rsidRPr="00751136" w:rsidRDefault="009F10C8" w:rsidP="0003043C">
            <w:pPr>
              <w:pStyle w:val="BodyTextIndent"/>
              <w:ind w:left="-101"/>
              <w:jc w:val="left"/>
              <w:rPr>
                <w:color w:val="auto"/>
                <w:szCs w:val="20"/>
                <w:lang w:val="en-GB"/>
              </w:rPr>
            </w:pPr>
          </w:p>
        </w:tc>
        <w:tc>
          <w:tcPr>
            <w:tcW w:w="1417" w:type="dxa"/>
            <w:tcBorders>
              <w:top w:val="single" w:sz="4" w:space="0" w:color="auto"/>
            </w:tcBorders>
          </w:tcPr>
          <w:p w14:paraId="2F675D75" w14:textId="77777777" w:rsidR="009F10C8" w:rsidRPr="00751136" w:rsidRDefault="009F10C8" w:rsidP="0003043C">
            <w:pPr>
              <w:pStyle w:val="BodyTextIndent"/>
              <w:ind w:left="0" w:right="-72"/>
              <w:jc w:val="right"/>
              <w:rPr>
                <w:color w:val="auto"/>
                <w:szCs w:val="20"/>
                <w:lang w:val="en-GB"/>
              </w:rPr>
            </w:pPr>
          </w:p>
        </w:tc>
        <w:tc>
          <w:tcPr>
            <w:tcW w:w="1602" w:type="dxa"/>
            <w:tcBorders>
              <w:top w:val="single" w:sz="4" w:space="0" w:color="auto"/>
            </w:tcBorders>
          </w:tcPr>
          <w:p w14:paraId="0ACF3208" w14:textId="3BCFD691" w:rsidR="009F10C8" w:rsidRPr="00751136" w:rsidRDefault="009F10C8" w:rsidP="0003043C">
            <w:pPr>
              <w:pStyle w:val="BodyTextIndent"/>
              <w:ind w:left="0" w:right="-72"/>
              <w:jc w:val="right"/>
              <w:rPr>
                <w:color w:val="auto"/>
                <w:szCs w:val="20"/>
                <w:lang w:val="en-GB"/>
              </w:rPr>
            </w:pPr>
          </w:p>
        </w:tc>
        <w:tc>
          <w:tcPr>
            <w:tcW w:w="1440" w:type="dxa"/>
            <w:tcBorders>
              <w:top w:val="single" w:sz="4" w:space="0" w:color="auto"/>
            </w:tcBorders>
          </w:tcPr>
          <w:p w14:paraId="4BEAB2D9" w14:textId="6C0B5BD7" w:rsidR="009F10C8" w:rsidRPr="00751136" w:rsidRDefault="009F10C8" w:rsidP="0003043C">
            <w:pPr>
              <w:pStyle w:val="BodyTextIndent"/>
              <w:ind w:left="0" w:right="-72"/>
              <w:jc w:val="right"/>
              <w:rPr>
                <w:color w:val="auto"/>
                <w:szCs w:val="20"/>
                <w:lang w:val="en-GB"/>
              </w:rPr>
            </w:pPr>
          </w:p>
        </w:tc>
        <w:tc>
          <w:tcPr>
            <w:tcW w:w="1440" w:type="dxa"/>
            <w:tcBorders>
              <w:top w:val="single" w:sz="4" w:space="0" w:color="auto"/>
            </w:tcBorders>
            <w:vAlign w:val="bottom"/>
          </w:tcPr>
          <w:p w14:paraId="05DC182F" w14:textId="77777777" w:rsidR="009F10C8" w:rsidRPr="00751136" w:rsidRDefault="009F10C8" w:rsidP="0003043C">
            <w:pPr>
              <w:pStyle w:val="BodyTextIndent"/>
              <w:ind w:left="0" w:right="-72"/>
              <w:jc w:val="right"/>
              <w:rPr>
                <w:color w:val="auto"/>
                <w:szCs w:val="20"/>
                <w:lang w:val="en-GB"/>
              </w:rPr>
            </w:pPr>
          </w:p>
        </w:tc>
      </w:tr>
      <w:tr w:rsidR="00667B5B" w:rsidRPr="00751136" w14:paraId="7C0665DE" w14:textId="77777777" w:rsidTr="00667B5B">
        <w:tc>
          <w:tcPr>
            <w:tcW w:w="3119" w:type="dxa"/>
            <w:vAlign w:val="bottom"/>
          </w:tcPr>
          <w:p w14:paraId="6141F749" w14:textId="7DB7113E" w:rsidR="00667B5B" w:rsidRPr="00751136" w:rsidRDefault="00667B5B" w:rsidP="0003043C">
            <w:pPr>
              <w:pStyle w:val="BodyTextIndent"/>
              <w:tabs>
                <w:tab w:val="left" w:pos="972"/>
              </w:tabs>
              <w:ind w:left="-101"/>
              <w:jc w:val="left"/>
              <w:rPr>
                <w:color w:val="auto"/>
                <w:spacing w:val="8"/>
                <w:szCs w:val="20"/>
              </w:rPr>
            </w:pPr>
            <w:r w:rsidRPr="00751136">
              <w:rPr>
                <w:color w:val="auto"/>
                <w:spacing w:val="-2"/>
                <w:szCs w:val="20"/>
                <w:lang w:val="en-GB"/>
              </w:rPr>
              <w:t>Opening balance</w:t>
            </w:r>
          </w:p>
        </w:tc>
        <w:tc>
          <w:tcPr>
            <w:tcW w:w="1417" w:type="dxa"/>
          </w:tcPr>
          <w:p w14:paraId="5E842E8D" w14:textId="08895A2A" w:rsidR="00667B5B" w:rsidRPr="00751136" w:rsidRDefault="00667B5B" w:rsidP="00722BB0">
            <w:pPr>
              <w:ind w:right="-72"/>
              <w:jc w:val="right"/>
              <w:rPr>
                <w:color w:val="auto"/>
                <w:lang w:val="en-GB"/>
              </w:rPr>
            </w:pPr>
            <w:r w:rsidRPr="00751136">
              <w:t>529,566,100</w:t>
            </w:r>
          </w:p>
        </w:tc>
        <w:tc>
          <w:tcPr>
            <w:tcW w:w="1602" w:type="dxa"/>
          </w:tcPr>
          <w:p w14:paraId="430F43D3" w14:textId="02D39C12" w:rsidR="00667B5B" w:rsidRPr="00751136" w:rsidRDefault="00667B5B" w:rsidP="00722BB0">
            <w:pPr>
              <w:ind w:right="-72"/>
              <w:jc w:val="right"/>
              <w:rPr>
                <w:color w:val="auto"/>
                <w:lang w:val="en-GB"/>
              </w:rPr>
            </w:pPr>
            <w:r w:rsidRPr="00751136">
              <w:t>5,283,110,283</w:t>
            </w:r>
          </w:p>
        </w:tc>
        <w:tc>
          <w:tcPr>
            <w:tcW w:w="1440" w:type="dxa"/>
          </w:tcPr>
          <w:p w14:paraId="3AB8A0EF" w14:textId="49BF182D" w:rsidR="00667B5B" w:rsidRPr="00751136" w:rsidRDefault="00667B5B" w:rsidP="0003043C">
            <w:pPr>
              <w:ind w:right="-72"/>
              <w:jc w:val="right"/>
              <w:rPr>
                <w:color w:val="auto"/>
                <w:lang w:val="en-GB"/>
              </w:rPr>
            </w:pPr>
            <w:r w:rsidRPr="00751136">
              <w:rPr>
                <w:color w:val="auto"/>
                <w:lang w:val="en-GB"/>
              </w:rPr>
              <w:t>-</w:t>
            </w:r>
          </w:p>
        </w:tc>
        <w:tc>
          <w:tcPr>
            <w:tcW w:w="1440" w:type="dxa"/>
          </w:tcPr>
          <w:p w14:paraId="5802BC80" w14:textId="57F27483" w:rsidR="00667B5B" w:rsidRPr="00751136" w:rsidRDefault="00667B5B" w:rsidP="0003043C">
            <w:pPr>
              <w:ind w:right="-72"/>
              <w:jc w:val="right"/>
              <w:rPr>
                <w:color w:val="auto"/>
                <w:lang w:val="en-GB"/>
              </w:rPr>
            </w:pPr>
            <w:r w:rsidRPr="00751136">
              <w:rPr>
                <w:color w:val="auto"/>
                <w:lang w:val="en-GB"/>
              </w:rPr>
              <w:t>-</w:t>
            </w:r>
          </w:p>
        </w:tc>
      </w:tr>
      <w:tr w:rsidR="00667B5B" w:rsidRPr="00751136" w14:paraId="5676AEB7" w14:textId="77777777" w:rsidTr="00667B5B">
        <w:tc>
          <w:tcPr>
            <w:tcW w:w="3119" w:type="dxa"/>
            <w:vAlign w:val="bottom"/>
          </w:tcPr>
          <w:p w14:paraId="519BE578" w14:textId="29C715EA" w:rsidR="00667B5B" w:rsidRPr="00751136" w:rsidRDefault="00667B5B" w:rsidP="0003043C">
            <w:pPr>
              <w:pStyle w:val="BodyTextIndent"/>
              <w:tabs>
                <w:tab w:val="left" w:pos="972"/>
              </w:tabs>
              <w:ind w:left="-101"/>
              <w:jc w:val="left"/>
              <w:rPr>
                <w:color w:val="auto"/>
                <w:spacing w:val="-2"/>
                <w:szCs w:val="20"/>
                <w:lang w:val="en-GB"/>
              </w:rPr>
            </w:pPr>
            <w:r w:rsidRPr="00751136">
              <w:rPr>
                <w:color w:val="auto"/>
                <w:spacing w:val="-2"/>
                <w:szCs w:val="20"/>
                <w:lang w:val="en-GB"/>
              </w:rPr>
              <w:t>Transfer from fund</w:t>
            </w:r>
          </w:p>
        </w:tc>
        <w:tc>
          <w:tcPr>
            <w:tcW w:w="1417" w:type="dxa"/>
          </w:tcPr>
          <w:p w14:paraId="64BF1112" w14:textId="0D5D692D" w:rsidR="00667B5B" w:rsidRPr="00751136" w:rsidRDefault="00667B5B" w:rsidP="00722BB0">
            <w:pPr>
              <w:ind w:right="-72"/>
              <w:jc w:val="right"/>
              <w:rPr>
                <w:color w:val="auto"/>
                <w:lang w:val="en-GB"/>
              </w:rPr>
            </w:pPr>
            <w:r w:rsidRPr="00751136">
              <w:t>-</w:t>
            </w:r>
          </w:p>
        </w:tc>
        <w:tc>
          <w:tcPr>
            <w:tcW w:w="1602" w:type="dxa"/>
          </w:tcPr>
          <w:p w14:paraId="10FECFA3" w14:textId="213D4293" w:rsidR="00667B5B" w:rsidRPr="00751136" w:rsidRDefault="00667B5B" w:rsidP="00722BB0">
            <w:pPr>
              <w:ind w:right="-72"/>
              <w:jc w:val="right"/>
              <w:rPr>
                <w:color w:val="auto"/>
                <w:lang w:val="en-GB"/>
              </w:rPr>
            </w:pPr>
            <w:r w:rsidRPr="00751136">
              <w:t>-</w:t>
            </w:r>
          </w:p>
        </w:tc>
        <w:tc>
          <w:tcPr>
            <w:tcW w:w="1440" w:type="dxa"/>
          </w:tcPr>
          <w:p w14:paraId="1A704981" w14:textId="61252C3F" w:rsidR="00667B5B" w:rsidRPr="00751136" w:rsidRDefault="00667B5B" w:rsidP="0003043C">
            <w:pPr>
              <w:ind w:right="-72"/>
              <w:jc w:val="right"/>
              <w:rPr>
                <w:color w:val="auto"/>
                <w:lang w:val="en-GB"/>
              </w:rPr>
            </w:pPr>
            <w:r w:rsidRPr="00751136">
              <w:t>529,566,100</w:t>
            </w:r>
          </w:p>
        </w:tc>
        <w:tc>
          <w:tcPr>
            <w:tcW w:w="1440" w:type="dxa"/>
          </w:tcPr>
          <w:p w14:paraId="60C0908F" w14:textId="6A1F58B5" w:rsidR="00667B5B" w:rsidRPr="00751136" w:rsidRDefault="00667B5B" w:rsidP="0003043C">
            <w:pPr>
              <w:ind w:right="-72"/>
              <w:jc w:val="right"/>
              <w:rPr>
                <w:color w:val="auto"/>
                <w:lang w:val="en-GB"/>
              </w:rPr>
            </w:pPr>
            <w:r w:rsidRPr="00751136">
              <w:t>5,283,110,283</w:t>
            </w:r>
          </w:p>
        </w:tc>
      </w:tr>
      <w:tr w:rsidR="00667B5B" w:rsidRPr="00751136" w14:paraId="1AB0BF45" w14:textId="77777777" w:rsidTr="00667B5B">
        <w:tc>
          <w:tcPr>
            <w:tcW w:w="3119" w:type="dxa"/>
            <w:vAlign w:val="bottom"/>
          </w:tcPr>
          <w:p w14:paraId="6A54BE95" w14:textId="294CE81A" w:rsidR="00667B5B" w:rsidRPr="00751136" w:rsidRDefault="00667B5B" w:rsidP="0003043C">
            <w:pPr>
              <w:pStyle w:val="BodyTextIndent"/>
              <w:tabs>
                <w:tab w:val="left" w:pos="972"/>
              </w:tabs>
              <w:ind w:left="-101"/>
              <w:jc w:val="left"/>
              <w:rPr>
                <w:color w:val="auto"/>
                <w:spacing w:val="-2"/>
                <w:szCs w:val="20"/>
                <w:lang w:val="en-GB"/>
              </w:rPr>
            </w:pPr>
            <w:proofErr w:type="gramStart"/>
            <w:r w:rsidRPr="00751136">
              <w:rPr>
                <w:spacing w:val="-2"/>
                <w:szCs w:val="20"/>
                <w:u w:val="single"/>
                <w:lang w:val="en-GB"/>
              </w:rPr>
              <w:t>Less</w:t>
            </w:r>
            <w:r w:rsidRPr="00751136">
              <w:rPr>
                <w:spacing w:val="-2"/>
                <w:szCs w:val="20"/>
                <w:lang w:val="en-GB"/>
              </w:rPr>
              <w:t xml:space="preserve">  Capital</w:t>
            </w:r>
            <w:proofErr w:type="gramEnd"/>
            <w:r w:rsidRPr="00751136">
              <w:rPr>
                <w:spacing w:val="-2"/>
                <w:szCs w:val="20"/>
                <w:lang w:val="en-GB"/>
              </w:rPr>
              <w:t xml:space="preserve"> reduction</w:t>
            </w:r>
          </w:p>
        </w:tc>
        <w:tc>
          <w:tcPr>
            <w:tcW w:w="1417" w:type="dxa"/>
            <w:tcBorders>
              <w:bottom w:val="single" w:sz="4" w:space="0" w:color="auto"/>
            </w:tcBorders>
          </w:tcPr>
          <w:p w14:paraId="201C9C57" w14:textId="31A4F19B" w:rsidR="00667B5B" w:rsidRPr="00751136" w:rsidRDefault="00667B5B" w:rsidP="00722BB0">
            <w:pPr>
              <w:ind w:right="-72"/>
              <w:jc w:val="right"/>
            </w:pPr>
            <w:r w:rsidRPr="00751136">
              <w:t>-</w:t>
            </w:r>
          </w:p>
        </w:tc>
        <w:tc>
          <w:tcPr>
            <w:tcW w:w="1602" w:type="dxa"/>
            <w:tcBorders>
              <w:bottom w:val="single" w:sz="4" w:space="0" w:color="auto"/>
            </w:tcBorders>
          </w:tcPr>
          <w:p w14:paraId="7B7BB299" w14:textId="1FD59D07" w:rsidR="00667B5B" w:rsidRPr="00751136" w:rsidRDefault="00667B5B" w:rsidP="00722BB0">
            <w:pPr>
              <w:ind w:right="-72"/>
              <w:jc w:val="right"/>
            </w:pPr>
            <w:r w:rsidRPr="00751136">
              <w:t>(108,719,920)</w:t>
            </w:r>
          </w:p>
        </w:tc>
        <w:tc>
          <w:tcPr>
            <w:tcW w:w="1440" w:type="dxa"/>
            <w:tcBorders>
              <w:bottom w:val="single" w:sz="4" w:space="0" w:color="auto"/>
            </w:tcBorders>
          </w:tcPr>
          <w:p w14:paraId="502059E2" w14:textId="72E41DE5" w:rsidR="00667B5B" w:rsidRPr="00751136" w:rsidRDefault="00667B5B" w:rsidP="0003043C">
            <w:pPr>
              <w:ind w:right="-72"/>
              <w:jc w:val="right"/>
            </w:pPr>
            <w:r w:rsidRPr="00751136">
              <w:t>-</w:t>
            </w:r>
          </w:p>
        </w:tc>
        <w:tc>
          <w:tcPr>
            <w:tcW w:w="1440" w:type="dxa"/>
            <w:tcBorders>
              <w:bottom w:val="single" w:sz="4" w:space="0" w:color="auto"/>
            </w:tcBorders>
          </w:tcPr>
          <w:p w14:paraId="04250155" w14:textId="345BCB1C" w:rsidR="00667B5B" w:rsidRPr="00751136" w:rsidRDefault="00667B5B" w:rsidP="0003043C">
            <w:pPr>
              <w:ind w:right="-72"/>
              <w:jc w:val="right"/>
              <w:rPr>
                <w:color w:val="auto"/>
                <w:lang w:val="en-GB"/>
              </w:rPr>
            </w:pPr>
            <w:r w:rsidRPr="00751136">
              <w:rPr>
                <w:color w:val="auto"/>
                <w:lang w:val="en-GB"/>
              </w:rPr>
              <w:t>-</w:t>
            </w:r>
          </w:p>
        </w:tc>
      </w:tr>
      <w:tr w:rsidR="002A57E9" w:rsidRPr="00751136" w14:paraId="5AD30712" w14:textId="77777777" w:rsidTr="00667B5B">
        <w:tc>
          <w:tcPr>
            <w:tcW w:w="3119" w:type="dxa"/>
            <w:vAlign w:val="bottom"/>
          </w:tcPr>
          <w:p w14:paraId="1C7F0104" w14:textId="77777777" w:rsidR="002A57E9" w:rsidRPr="00751136" w:rsidRDefault="002A57E9" w:rsidP="0003043C">
            <w:pPr>
              <w:pStyle w:val="BodyTextIndent"/>
              <w:ind w:left="-101"/>
              <w:jc w:val="left"/>
              <w:rPr>
                <w:color w:val="auto"/>
                <w:szCs w:val="20"/>
                <w:lang w:val="en-GB"/>
              </w:rPr>
            </w:pPr>
          </w:p>
        </w:tc>
        <w:tc>
          <w:tcPr>
            <w:tcW w:w="1417" w:type="dxa"/>
            <w:tcBorders>
              <w:top w:val="single" w:sz="4" w:space="0" w:color="auto"/>
            </w:tcBorders>
          </w:tcPr>
          <w:p w14:paraId="005EEDB1" w14:textId="77777777" w:rsidR="002A57E9" w:rsidRPr="00751136" w:rsidRDefault="002A57E9" w:rsidP="00722BB0">
            <w:pPr>
              <w:pStyle w:val="BodyTextIndent"/>
              <w:ind w:left="0" w:right="-72"/>
              <w:jc w:val="right"/>
              <w:rPr>
                <w:color w:val="auto"/>
                <w:szCs w:val="20"/>
                <w:lang w:val="en-GB"/>
              </w:rPr>
            </w:pPr>
          </w:p>
        </w:tc>
        <w:tc>
          <w:tcPr>
            <w:tcW w:w="1602" w:type="dxa"/>
            <w:tcBorders>
              <w:top w:val="single" w:sz="4" w:space="0" w:color="auto"/>
            </w:tcBorders>
          </w:tcPr>
          <w:p w14:paraId="616D4613" w14:textId="04A6718D" w:rsidR="002A57E9" w:rsidRPr="00751136" w:rsidRDefault="002A57E9" w:rsidP="00722BB0">
            <w:pPr>
              <w:pStyle w:val="BodyTextIndent"/>
              <w:ind w:left="0" w:right="-72"/>
              <w:jc w:val="right"/>
              <w:rPr>
                <w:color w:val="auto"/>
                <w:szCs w:val="20"/>
                <w:lang w:val="en-GB"/>
              </w:rPr>
            </w:pPr>
          </w:p>
        </w:tc>
        <w:tc>
          <w:tcPr>
            <w:tcW w:w="1440" w:type="dxa"/>
            <w:tcBorders>
              <w:top w:val="single" w:sz="4" w:space="0" w:color="auto"/>
            </w:tcBorders>
          </w:tcPr>
          <w:p w14:paraId="4F56CA99" w14:textId="537F9B15" w:rsidR="002A57E9" w:rsidRPr="00751136" w:rsidRDefault="002A57E9" w:rsidP="0003043C">
            <w:pPr>
              <w:pStyle w:val="BodyTextIndent"/>
              <w:ind w:left="0" w:right="-72"/>
              <w:jc w:val="right"/>
              <w:rPr>
                <w:color w:val="auto"/>
                <w:szCs w:val="20"/>
                <w:lang w:val="en-GB"/>
              </w:rPr>
            </w:pPr>
          </w:p>
        </w:tc>
        <w:tc>
          <w:tcPr>
            <w:tcW w:w="1440" w:type="dxa"/>
            <w:tcBorders>
              <w:top w:val="single" w:sz="4" w:space="0" w:color="auto"/>
            </w:tcBorders>
          </w:tcPr>
          <w:p w14:paraId="4FA728BF" w14:textId="77777777" w:rsidR="002A57E9" w:rsidRPr="00751136" w:rsidRDefault="002A57E9" w:rsidP="0003043C">
            <w:pPr>
              <w:pStyle w:val="BodyTextIndent"/>
              <w:ind w:left="0" w:right="-72"/>
              <w:jc w:val="right"/>
              <w:rPr>
                <w:color w:val="auto"/>
                <w:szCs w:val="20"/>
                <w:lang w:val="en-GB"/>
              </w:rPr>
            </w:pPr>
          </w:p>
        </w:tc>
      </w:tr>
      <w:tr w:rsidR="00667B5B" w:rsidRPr="00751136" w14:paraId="655B23B3" w14:textId="77777777" w:rsidTr="00667B5B">
        <w:tc>
          <w:tcPr>
            <w:tcW w:w="3119" w:type="dxa"/>
            <w:vAlign w:val="bottom"/>
          </w:tcPr>
          <w:p w14:paraId="6CC315A7" w14:textId="170F74A3" w:rsidR="00667B5B" w:rsidRPr="00751136" w:rsidRDefault="00667B5B" w:rsidP="0003043C">
            <w:pPr>
              <w:pStyle w:val="BodyTextIndent"/>
              <w:tabs>
                <w:tab w:val="left" w:pos="972"/>
              </w:tabs>
              <w:ind w:left="-101"/>
              <w:jc w:val="left"/>
              <w:rPr>
                <w:color w:val="auto"/>
                <w:szCs w:val="20"/>
              </w:rPr>
            </w:pPr>
            <w:r w:rsidRPr="00751136">
              <w:rPr>
                <w:color w:val="auto"/>
                <w:szCs w:val="20"/>
              </w:rPr>
              <w:t>Closing balance</w:t>
            </w:r>
          </w:p>
        </w:tc>
        <w:tc>
          <w:tcPr>
            <w:tcW w:w="1417" w:type="dxa"/>
            <w:tcBorders>
              <w:bottom w:val="single" w:sz="4" w:space="0" w:color="auto"/>
            </w:tcBorders>
          </w:tcPr>
          <w:p w14:paraId="7C8417EC" w14:textId="54C261B9" w:rsidR="00667B5B" w:rsidRPr="00751136" w:rsidRDefault="00667B5B" w:rsidP="00722BB0">
            <w:pPr>
              <w:ind w:right="-72"/>
              <w:jc w:val="right"/>
              <w:rPr>
                <w:color w:val="auto"/>
                <w:lang w:val="en-GB"/>
              </w:rPr>
            </w:pPr>
            <w:r w:rsidRPr="00751136">
              <w:t>529,566,100</w:t>
            </w:r>
          </w:p>
        </w:tc>
        <w:tc>
          <w:tcPr>
            <w:tcW w:w="1602" w:type="dxa"/>
            <w:tcBorders>
              <w:bottom w:val="single" w:sz="4" w:space="0" w:color="auto"/>
            </w:tcBorders>
          </w:tcPr>
          <w:p w14:paraId="2C4F6D57" w14:textId="6CC4E36D" w:rsidR="00667B5B" w:rsidRPr="00751136" w:rsidRDefault="00667B5B" w:rsidP="00722BB0">
            <w:pPr>
              <w:ind w:right="-72"/>
              <w:jc w:val="right"/>
              <w:rPr>
                <w:color w:val="auto"/>
                <w:lang w:val="en-GB"/>
              </w:rPr>
            </w:pPr>
            <w:r w:rsidRPr="00751136">
              <w:t>5,174,390,363</w:t>
            </w:r>
          </w:p>
        </w:tc>
        <w:tc>
          <w:tcPr>
            <w:tcW w:w="1440" w:type="dxa"/>
            <w:tcBorders>
              <w:bottom w:val="single" w:sz="4" w:space="0" w:color="auto"/>
            </w:tcBorders>
          </w:tcPr>
          <w:p w14:paraId="132298E3" w14:textId="382631C0" w:rsidR="00667B5B" w:rsidRPr="00751136" w:rsidRDefault="00667B5B" w:rsidP="0003043C">
            <w:pPr>
              <w:ind w:right="-72"/>
              <w:jc w:val="right"/>
              <w:rPr>
                <w:color w:val="auto"/>
                <w:cs/>
                <w:lang w:val="en-GB"/>
              </w:rPr>
            </w:pPr>
            <w:r w:rsidRPr="00751136">
              <w:rPr>
                <w:color w:val="auto"/>
                <w:lang w:val="en-GB"/>
              </w:rPr>
              <w:t>529,566,100</w:t>
            </w:r>
          </w:p>
        </w:tc>
        <w:tc>
          <w:tcPr>
            <w:tcW w:w="1440" w:type="dxa"/>
            <w:tcBorders>
              <w:bottom w:val="single" w:sz="4" w:space="0" w:color="auto"/>
            </w:tcBorders>
          </w:tcPr>
          <w:p w14:paraId="315001A0" w14:textId="4DDA3658" w:rsidR="00667B5B" w:rsidRPr="00751136" w:rsidRDefault="00667B5B" w:rsidP="0003043C">
            <w:pPr>
              <w:ind w:right="-72"/>
              <w:jc w:val="right"/>
              <w:rPr>
                <w:color w:val="auto"/>
                <w:cs/>
                <w:lang w:val="en-GB"/>
              </w:rPr>
            </w:pPr>
            <w:r w:rsidRPr="00751136">
              <w:rPr>
                <w:color w:val="auto"/>
                <w:lang w:val="en-GB"/>
              </w:rPr>
              <w:t>5,283,110,283</w:t>
            </w:r>
          </w:p>
        </w:tc>
      </w:tr>
    </w:tbl>
    <w:p w14:paraId="4616F830" w14:textId="77777777" w:rsidR="000745EE" w:rsidRPr="00751136" w:rsidRDefault="000745EE" w:rsidP="0003043C">
      <w:pPr>
        <w:pStyle w:val="BodyTextIndent"/>
        <w:ind w:left="0"/>
        <w:rPr>
          <w:spacing w:val="-2"/>
          <w:szCs w:val="20"/>
        </w:rPr>
      </w:pPr>
    </w:p>
    <w:p w14:paraId="7A3C25D2" w14:textId="77777777" w:rsidR="000745EE" w:rsidRPr="00751136" w:rsidRDefault="000745EE" w:rsidP="0003043C">
      <w:pPr>
        <w:tabs>
          <w:tab w:val="left" w:pos="540"/>
        </w:tabs>
        <w:ind w:left="7"/>
        <w:jc w:val="thaiDistribute"/>
        <w:rPr>
          <w:rFonts w:eastAsia="Cordia New"/>
        </w:rPr>
      </w:pPr>
      <w:r w:rsidRPr="00751136">
        <w:rPr>
          <w:rFonts w:eastAsia="Cordia New"/>
        </w:rPr>
        <w:t xml:space="preserve">The Trust announced its first capital return payment on </w:t>
      </w:r>
      <w:r w:rsidRPr="00751136">
        <w:rPr>
          <w:rFonts w:eastAsia="Cordia New"/>
          <w:lang w:val="en-GB"/>
        </w:rPr>
        <w:t>26 February 2025</w:t>
      </w:r>
      <w:r w:rsidRPr="00751136">
        <w:rPr>
          <w:rFonts w:eastAsia="Cordia New"/>
        </w:rPr>
        <w:t xml:space="preserve">, the capital return </w:t>
      </w:r>
      <w:r w:rsidRPr="00751136">
        <w:rPr>
          <w:rFonts w:eastAsia="Cordia New"/>
          <w:spacing w:val="-4"/>
        </w:rPr>
        <w:t>was paid at Baht 0.0982 per unit, totaling Baht 52.00 million. The Trust submitted the registration</w:t>
      </w:r>
      <w:r w:rsidRPr="00751136">
        <w:rPr>
          <w:rFonts w:eastAsia="Cordia New"/>
        </w:rPr>
        <w:t xml:space="preserve"> of </w:t>
      </w:r>
      <w:r w:rsidRPr="00751136">
        <w:rPr>
          <w:rFonts w:eastAsia="Cordia New"/>
          <w:spacing w:val="-8"/>
        </w:rPr>
        <w:t>all the capital reduction to the Securities and Exchange Commission (SEC) and the SEC acknowledged the capital reduction</w:t>
      </w:r>
      <w:r w:rsidRPr="00751136">
        <w:rPr>
          <w:rFonts w:eastAsia="Cordia New"/>
        </w:rPr>
        <w:t xml:space="preserve"> on </w:t>
      </w:r>
      <w:r w:rsidRPr="00751136">
        <w:rPr>
          <w:rFonts w:eastAsia="Cordia New"/>
          <w:lang w:val="en-GB"/>
        </w:rPr>
        <w:t>27 March 2025</w:t>
      </w:r>
      <w:r w:rsidRPr="00751136">
        <w:rPr>
          <w:rFonts w:eastAsia="Cordia New"/>
        </w:rPr>
        <w:t>.</w:t>
      </w:r>
    </w:p>
    <w:p w14:paraId="505A94B0" w14:textId="77777777" w:rsidR="00564C72" w:rsidRPr="00751136" w:rsidRDefault="00564C72" w:rsidP="0003043C">
      <w:pPr>
        <w:tabs>
          <w:tab w:val="left" w:pos="540"/>
        </w:tabs>
        <w:ind w:left="7"/>
        <w:jc w:val="thaiDistribute"/>
        <w:rPr>
          <w:rFonts w:eastAsia="Cordia New"/>
        </w:rPr>
      </w:pPr>
    </w:p>
    <w:p w14:paraId="0F6ABAE8" w14:textId="451EF99B" w:rsidR="000745EE" w:rsidRPr="00751136" w:rsidRDefault="000745EE" w:rsidP="0003043C">
      <w:pPr>
        <w:tabs>
          <w:tab w:val="left" w:pos="540"/>
        </w:tabs>
        <w:ind w:left="7"/>
        <w:jc w:val="thaiDistribute"/>
        <w:rPr>
          <w:rFonts w:eastAsia="Cordia New"/>
        </w:rPr>
      </w:pPr>
      <w:r w:rsidRPr="00751136">
        <w:rPr>
          <w:rFonts w:eastAsia="Cordia New"/>
        </w:rPr>
        <w:t xml:space="preserve">The Trust announced its second capital return payment on 15 May 2025, the capital return was paid at Baht 0.0305 per unit, totaling Baht 16.15 million. The Trust submitted the registration of </w:t>
      </w:r>
      <w:proofErr w:type="gramStart"/>
      <w:r w:rsidRPr="00751136">
        <w:rPr>
          <w:rFonts w:eastAsia="Cordia New"/>
        </w:rPr>
        <w:t>all the</w:t>
      </w:r>
      <w:proofErr w:type="gramEnd"/>
      <w:r w:rsidRPr="00751136">
        <w:rPr>
          <w:rFonts w:eastAsia="Cordia New"/>
        </w:rPr>
        <w:t xml:space="preserve"> capital </w:t>
      </w:r>
      <w:proofErr w:type="gramStart"/>
      <w:r w:rsidRPr="00751136">
        <w:rPr>
          <w:rFonts w:eastAsia="Cordia New"/>
        </w:rPr>
        <w:t>reduction</w:t>
      </w:r>
      <w:proofErr w:type="gramEnd"/>
      <w:r w:rsidRPr="00751136">
        <w:rPr>
          <w:rFonts w:eastAsia="Cordia New"/>
        </w:rPr>
        <w:t xml:space="preserve"> to the Securities and Exchange Commission (SEC) and the SEC acknowledged the capital reduction on 16 June 2025.</w:t>
      </w:r>
    </w:p>
    <w:p w14:paraId="173705AA" w14:textId="77777777" w:rsidR="00E134F7" w:rsidRPr="00751136" w:rsidRDefault="00E134F7" w:rsidP="0003043C">
      <w:pPr>
        <w:tabs>
          <w:tab w:val="left" w:pos="540"/>
        </w:tabs>
        <w:ind w:left="7"/>
        <w:jc w:val="thaiDistribute"/>
        <w:rPr>
          <w:rFonts w:eastAsia="Cordia New"/>
        </w:rPr>
      </w:pPr>
    </w:p>
    <w:p w14:paraId="34E1043B" w14:textId="0A73DD7B" w:rsidR="00E134F7" w:rsidRPr="00751136" w:rsidRDefault="00E134F7" w:rsidP="0003043C">
      <w:pPr>
        <w:tabs>
          <w:tab w:val="left" w:pos="540"/>
        </w:tabs>
        <w:ind w:left="7"/>
        <w:jc w:val="thaiDistribute"/>
        <w:rPr>
          <w:rFonts w:eastAsia="Cordia New"/>
        </w:rPr>
      </w:pPr>
      <w:r w:rsidRPr="00751136">
        <w:rPr>
          <w:rFonts w:eastAsia="Cordia New"/>
        </w:rPr>
        <w:t xml:space="preserve">The Trust announced its third capital return payment on 13 November 2025, the capital return was paid at Baht 0.0766 per unit, totaling Baht 40.56 million. The Trust submitted the registration of </w:t>
      </w:r>
      <w:proofErr w:type="gramStart"/>
      <w:r w:rsidRPr="00751136">
        <w:rPr>
          <w:rFonts w:eastAsia="Cordia New"/>
        </w:rPr>
        <w:t>all the</w:t>
      </w:r>
      <w:proofErr w:type="gramEnd"/>
      <w:r w:rsidRPr="00751136">
        <w:rPr>
          <w:rFonts w:eastAsia="Cordia New"/>
        </w:rPr>
        <w:t xml:space="preserve"> capital reduction to the Securities and Exchange Commission (SEC) and the SEC acknowledged the capital reduction on 1</w:t>
      </w:r>
      <w:r w:rsidR="00FA5C38" w:rsidRPr="00751136">
        <w:rPr>
          <w:rFonts w:eastAsia="Cordia New"/>
        </w:rPr>
        <w:t>5</w:t>
      </w:r>
      <w:r w:rsidRPr="00751136">
        <w:rPr>
          <w:rFonts w:eastAsia="Cordia New"/>
        </w:rPr>
        <w:t xml:space="preserve"> December 2025.</w:t>
      </w:r>
    </w:p>
    <w:p w14:paraId="2D57A5AE" w14:textId="77777777" w:rsidR="00470227" w:rsidRPr="00751136" w:rsidRDefault="00470227" w:rsidP="0003043C">
      <w:pPr>
        <w:pStyle w:val="BodyTextIndent"/>
        <w:tabs>
          <w:tab w:val="right" w:pos="9360"/>
        </w:tabs>
        <w:ind w:left="540" w:hanging="540"/>
        <w:rPr>
          <w:color w:val="auto"/>
          <w:szCs w:val="20"/>
        </w:rPr>
      </w:pPr>
    </w:p>
    <w:p w14:paraId="288C8FB3" w14:textId="77777777" w:rsidR="00470227" w:rsidRPr="00751136" w:rsidRDefault="00470227" w:rsidP="0003043C">
      <w:pPr>
        <w:pStyle w:val="BodyTextIndent"/>
        <w:tabs>
          <w:tab w:val="right" w:pos="9360"/>
        </w:tabs>
        <w:ind w:left="540" w:hanging="540"/>
        <w:rPr>
          <w:color w:val="auto"/>
          <w:szCs w:val="20"/>
          <w:lang w:val="en-GB"/>
        </w:rPr>
      </w:pPr>
    </w:p>
    <w:p w14:paraId="7B0A00F6" w14:textId="5A0B2349" w:rsidR="00E4252E" w:rsidRPr="00751136" w:rsidRDefault="00722BB0" w:rsidP="0003043C">
      <w:pPr>
        <w:pStyle w:val="BodyTextIndent"/>
        <w:tabs>
          <w:tab w:val="right" w:pos="9360"/>
        </w:tabs>
        <w:ind w:left="540" w:hanging="540"/>
        <w:rPr>
          <w:b/>
          <w:bCs/>
          <w:color w:val="auto"/>
          <w:szCs w:val="20"/>
          <w:lang w:val="en-GB"/>
        </w:rPr>
      </w:pPr>
      <w:r w:rsidRPr="00751136">
        <w:rPr>
          <w:color w:val="auto"/>
          <w:szCs w:val="20"/>
          <w:lang w:val="en-GB"/>
        </w:rPr>
        <w:br w:type="page"/>
      </w:r>
      <w:r w:rsidR="002324FE" w:rsidRPr="00751136">
        <w:rPr>
          <w:b/>
          <w:bCs/>
          <w:color w:val="auto"/>
          <w:szCs w:val="20"/>
        </w:rPr>
        <w:lastRenderedPageBreak/>
        <w:t>10</w:t>
      </w:r>
      <w:r w:rsidR="00AD28F2" w:rsidRPr="00751136">
        <w:rPr>
          <w:b/>
          <w:bCs/>
          <w:color w:val="auto"/>
          <w:szCs w:val="20"/>
        </w:rPr>
        <w:tab/>
      </w:r>
      <w:r w:rsidR="00E03D55" w:rsidRPr="00751136">
        <w:rPr>
          <w:b/>
          <w:bCs/>
          <w:color w:val="auto"/>
          <w:szCs w:val="20"/>
        </w:rPr>
        <w:t>Retained earning</w:t>
      </w:r>
      <w:r w:rsidR="00E03D55" w:rsidRPr="00751136">
        <w:rPr>
          <w:b/>
          <w:bCs/>
          <w:color w:val="auto"/>
          <w:szCs w:val="20"/>
          <w:lang w:val="en-GB"/>
        </w:rPr>
        <w:t>s</w:t>
      </w:r>
    </w:p>
    <w:p w14:paraId="5E444EAA" w14:textId="77777777" w:rsidR="00E03D55" w:rsidRPr="00751136" w:rsidRDefault="00E03D55" w:rsidP="0003043C">
      <w:pPr>
        <w:pStyle w:val="BodyTextIndent"/>
        <w:ind w:left="0"/>
        <w:rPr>
          <w:color w:val="auto"/>
          <w:spacing w:val="-2"/>
          <w:szCs w:val="20"/>
          <w:lang w:val="en-GB"/>
        </w:rPr>
      </w:pPr>
    </w:p>
    <w:p w14:paraId="7D8ACA56" w14:textId="449ED80C" w:rsidR="002C3586" w:rsidRPr="00751136" w:rsidRDefault="002C3586" w:rsidP="0003043C">
      <w:pPr>
        <w:pStyle w:val="BodyTextIndent"/>
        <w:ind w:left="0"/>
        <w:rPr>
          <w:color w:val="auto"/>
          <w:szCs w:val="20"/>
        </w:rPr>
      </w:pPr>
      <w:r w:rsidRPr="00751136">
        <w:rPr>
          <w:color w:val="auto"/>
          <w:spacing w:val="-6"/>
          <w:szCs w:val="20"/>
        </w:rPr>
        <w:t xml:space="preserve">Movements in retained earnings </w:t>
      </w:r>
      <w:r w:rsidRPr="00751136">
        <w:rPr>
          <w:color w:val="auto"/>
          <w:spacing w:val="-6"/>
          <w:szCs w:val="20"/>
          <w:shd w:val="clear" w:color="auto" w:fill="FFFFFF"/>
        </w:rPr>
        <w:t xml:space="preserve">for the </w:t>
      </w:r>
      <w:r w:rsidR="00952DD5" w:rsidRPr="00751136">
        <w:rPr>
          <w:color w:val="auto"/>
          <w:spacing w:val="-6"/>
          <w:szCs w:val="20"/>
          <w:shd w:val="clear" w:color="auto" w:fill="FFFFFF"/>
        </w:rPr>
        <w:t>year</w:t>
      </w:r>
      <w:r w:rsidRPr="00751136">
        <w:rPr>
          <w:color w:val="auto"/>
          <w:spacing w:val="-6"/>
          <w:szCs w:val="20"/>
          <w:shd w:val="clear" w:color="auto" w:fill="FFFFFF"/>
        </w:rPr>
        <w:t xml:space="preserve"> ended</w:t>
      </w:r>
      <w:r w:rsidRPr="00751136">
        <w:rPr>
          <w:color w:val="auto"/>
          <w:szCs w:val="20"/>
          <w:shd w:val="clear" w:color="auto" w:fill="FFFFFF"/>
        </w:rPr>
        <w:t xml:space="preserve"> </w:t>
      </w:r>
      <w:r w:rsidR="001659E8" w:rsidRPr="00751136">
        <w:rPr>
          <w:color w:val="auto"/>
          <w:szCs w:val="20"/>
          <w:shd w:val="clear" w:color="auto" w:fill="FFFFFF"/>
          <w:lang w:val="en-GB"/>
        </w:rPr>
        <w:t>31</w:t>
      </w:r>
      <w:r w:rsidR="00150F78" w:rsidRPr="00751136">
        <w:rPr>
          <w:color w:val="auto"/>
          <w:szCs w:val="20"/>
          <w:shd w:val="clear" w:color="auto" w:fill="FFFFFF"/>
        </w:rPr>
        <w:t xml:space="preserve"> December </w:t>
      </w:r>
      <w:r w:rsidR="009F10C8" w:rsidRPr="00751136">
        <w:rPr>
          <w:color w:val="auto"/>
          <w:szCs w:val="20"/>
        </w:rPr>
        <w:t xml:space="preserve">2025 and 2024 </w:t>
      </w:r>
      <w:r w:rsidRPr="00751136">
        <w:rPr>
          <w:color w:val="auto"/>
          <w:szCs w:val="20"/>
        </w:rPr>
        <w:t>are as follows:</w:t>
      </w:r>
    </w:p>
    <w:p w14:paraId="50814BBD" w14:textId="77777777" w:rsidR="001B03E7" w:rsidRPr="00751136" w:rsidRDefault="001B03E7" w:rsidP="0003043C">
      <w:pPr>
        <w:pStyle w:val="BodyTextIndent"/>
        <w:ind w:left="0"/>
        <w:rPr>
          <w:color w:val="auto"/>
          <w:szCs w:val="20"/>
        </w:rPr>
      </w:pPr>
    </w:p>
    <w:tbl>
      <w:tblPr>
        <w:tblW w:w="9018" w:type="dxa"/>
        <w:tblInd w:w="108" w:type="dxa"/>
        <w:tblLayout w:type="fixed"/>
        <w:tblLook w:val="0000" w:firstRow="0" w:lastRow="0" w:firstColumn="0" w:lastColumn="0" w:noHBand="0" w:noVBand="0"/>
      </w:tblPr>
      <w:tblGrid>
        <w:gridCol w:w="5850"/>
        <w:gridCol w:w="1584"/>
        <w:gridCol w:w="1584"/>
      </w:tblGrid>
      <w:tr w:rsidR="009F10C8" w:rsidRPr="00751136" w14:paraId="5E417C77" w14:textId="22FFCE51" w:rsidTr="004C608B">
        <w:tc>
          <w:tcPr>
            <w:tcW w:w="5850" w:type="dxa"/>
            <w:vAlign w:val="bottom"/>
          </w:tcPr>
          <w:p w14:paraId="0E5AEB13" w14:textId="77777777" w:rsidR="009F10C8" w:rsidRPr="00751136" w:rsidRDefault="009F10C8" w:rsidP="0003043C">
            <w:pPr>
              <w:pStyle w:val="BodyTextIndent"/>
              <w:ind w:left="-101"/>
              <w:jc w:val="left"/>
              <w:rPr>
                <w:color w:val="auto"/>
                <w:szCs w:val="20"/>
                <w:lang w:val="en-GB"/>
              </w:rPr>
            </w:pPr>
          </w:p>
        </w:tc>
        <w:tc>
          <w:tcPr>
            <w:tcW w:w="1584" w:type="dxa"/>
            <w:vAlign w:val="bottom"/>
          </w:tcPr>
          <w:p w14:paraId="502F4EBA" w14:textId="51219E48" w:rsidR="009F10C8" w:rsidRPr="00751136" w:rsidRDefault="009F10C8" w:rsidP="0003043C">
            <w:pPr>
              <w:pStyle w:val="BodyTextIndent"/>
              <w:ind w:left="0" w:right="-72"/>
              <w:jc w:val="right"/>
              <w:rPr>
                <w:b/>
                <w:bCs/>
                <w:color w:val="auto"/>
                <w:szCs w:val="20"/>
                <w:lang w:val="en-GB"/>
              </w:rPr>
            </w:pPr>
            <w:r w:rsidRPr="00751136">
              <w:rPr>
                <w:b/>
                <w:bCs/>
                <w:color w:val="auto"/>
                <w:szCs w:val="20"/>
                <w:lang w:val="en-GB" w:eastAsia="th-TH"/>
              </w:rPr>
              <w:t>2025</w:t>
            </w:r>
          </w:p>
        </w:tc>
        <w:tc>
          <w:tcPr>
            <w:tcW w:w="1584" w:type="dxa"/>
            <w:vAlign w:val="bottom"/>
          </w:tcPr>
          <w:p w14:paraId="7B253A7B" w14:textId="41D2D482" w:rsidR="009F10C8" w:rsidRPr="00751136" w:rsidRDefault="009F10C8" w:rsidP="0003043C">
            <w:pPr>
              <w:pStyle w:val="BodyTextIndent"/>
              <w:ind w:left="0" w:right="-72"/>
              <w:jc w:val="right"/>
              <w:rPr>
                <w:b/>
                <w:bCs/>
                <w:color w:val="auto"/>
                <w:szCs w:val="20"/>
              </w:rPr>
            </w:pPr>
            <w:r w:rsidRPr="00751136">
              <w:rPr>
                <w:b/>
                <w:bCs/>
                <w:color w:val="auto"/>
                <w:szCs w:val="20"/>
                <w:lang w:val="en-GB"/>
              </w:rPr>
              <w:t>2024</w:t>
            </w:r>
          </w:p>
        </w:tc>
      </w:tr>
      <w:tr w:rsidR="009F10C8" w:rsidRPr="00751136" w14:paraId="3D783A40" w14:textId="2D632F03" w:rsidTr="004C608B">
        <w:tc>
          <w:tcPr>
            <w:tcW w:w="5850" w:type="dxa"/>
            <w:vAlign w:val="bottom"/>
          </w:tcPr>
          <w:p w14:paraId="1150BDC5" w14:textId="77777777" w:rsidR="009F10C8" w:rsidRPr="00751136" w:rsidRDefault="009F10C8" w:rsidP="0003043C">
            <w:pPr>
              <w:pStyle w:val="BodyTextIndent"/>
              <w:ind w:left="-101"/>
              <w:jc w:val="left"/>
              <w:rPr>
                <w:color w:val="auto"/>
                <w:szCs w:val="20"/>
                <w:lang w:val="en-GB"/>
              </w:rPr>
            </w:pPr>
          </w:p>
        </w:tc>
        <w:tc>
          <w:tcPr>
            <w:tcW w:w="1584" w:type="dxa"/>
            <w:tcBorders>
              <w:bottom w:val="single" w:sz="4" w:space="0" w:color="auto"/>
            </w:tcBorders>
            <w:vAlign w:val="bottom"/>
          </w:tcPr>
          <w:p w14:paraId="167CF350" w14:textId="11C20D72" w:rsidR="009F10C8" w:rsidRPr="00751136" w:rsidRDefault="009F10C8" w:rsidP="0003043C">
            <w:pPr>
              <w:pStyle w:val="BodyTextIndent"/>
              <w:ind w:left="0" w:right="-72"/>
              <w:jc w:val="right"/>
              <w:rPr>
                <w:b/>
                <w:bCs/>
                <w:color w:val="auto"/>
                <w:szCs w:val="20"/>
              </w:rPr>
            </w:pPr>
            <w:r w:rsidRPr="00751136">
              <w:rPr>
                <w:b/>
                <w:bCs/>
                <w:color w:val="auto"/>
                <w:szCs w:val="20"/>
                <w:lang w:val="en-GB" w:eastAsia="th-TH"/>
              </w:rPr>
              <w:t>Baht</w:t>
            </w:r>
          </w:p>
        </w:tc>
        <w:tc>
          <w:tcPr>
            <w:tcW w:w="1584" w:type="dxa"/>
            <w:tcBorders>
              <w:bottom w:val="single" w:sz="4" w:space="0" w:color="auto"/>
            </w:tcBorders>
            <w:vAlign w:val="bottom"/>
          </w:tcPr>
          <w:p w14:paraId="76A89C11" w14:textId="41EC04B2" w:rsidR="009F10C8" w:rsidRPr="00751136" w:rsidRDefault="009F10C8" w:rsidP="0003043C">
            <w:pPr>
              <w:pStyle w:val="BodyTextIndent"/>
              <w:ind w:left="0" w:right="-72"/>
              <w:jc w:val="right"/>
              <w:rPr>
                <w:color w:val="auto"/>
                <w:szCs w:val="20"/>
                <w:lang w:val="en-GB"/>
              </w:rPr>
            </w:pPr>
            <w:r w:rsidRPr="00751136">
              <w:rPr>
                <w:b/>
                <w:bCs/>
                <w:color w:val="auto"/>
                <w:szCs w:val="20"/>
              </w:rPr>
              <w:t>Baht</w:t>
            </w:r>
          </w:p>
        </w:tc>
      </w:tr>
      <w:tr w:rsidR="009F10C8" w:rsidRPr="00751136" w14:paraId="287E651E" w14:textId="518D50EC" w:rsidTr="004C608B">
        <w:tc>
          <w:tcPr>
            <w:tcW w:w="5850" w:type="dxa"/>
            <w:vAlign w:val="bottom"/>
          </w:tcPr>
          <w:p w14:paraId="485F8FAD" w14:textId="77777777" w:rsidR="009F10C8" w:rsidRPr="00751136" w:rsidRDefault="009F10C8" w:rsidP="0003043C">
            <w:pPr>
              <w:pStyle w:val="BodyTextIndent"/>
              <w:ind w:left="-101"/>
              <w:jc w:val="left"/>
              <w:rPr>
                <w:color w:val="auto"/>
                <w:szCs w:val="20"/>
                <w:lang w:val="en-GB"/>
              </w:rPr>
            </w:pPr>
          </w:p>
        </w:tc>
        <w:tc>
          <w:tcPr>
            <w:tcW w:w="1584" w:type="dxa"/>
            <w:tcBorders>
              <w:top w:val="single" w:sz="4" w:space="0" w:color="auto"/>
            </w:tcBorders>
          </w:tcPr>
          <w:p w14:paraId="53BDC3A8" w14:textId="77777777" w:rsidR="009F10C8" w:rsidRPr="00751136" w:rsidRDefault="009F10C8" w:rsidP="0003043C">
            <w:pPr>
              <w:pStyle w:val="BodyTextIndent"/>
              <w:ind w:left="0" w:right="-72"/>
              <w:jc w:val="right"/>
              <w:rPr>
                <w:color w:val="auto"/>
                <w:szCs w:val="20"/>
                <w:lang w:val="en-GB"/>
              </w:rPr>
            </w:pPr>
          </w:p>
        </w:tc>
        <w:tc>
          <w:tcPr>
            <w:tcW w:w="1584" w:type="dxa"/>
            <w:tcBorders>
              <w:top w:val="single" w:sz="4" w:space="0" w:color="auto"/>
            </w:tcBorders>
            <w:vAlign w:val="bottom"/>
          </w:tcPr>
          <w:p w14:paraId="4BF8F290" w14:textId="528F04F3" w:rsidR="009F10C8" w:rsidRPr="00751136" w:rsidRDefault="009F10C8" w:rsidP="0003043C">
            <w:pPr>
              <w:pStyle w:val="BodyTextIndent"/>
              <w:ind w:left="0" w:right="-72"/>
              <w:jc w:val="right"/>
              <w:rPr>
                <w:color w:val="auto"/>
                <w:szCs w:val="20"/>
                <w:lang w:val="en-GB"/>
              </w:rPr>
            </w:pPr>
          </w:p>
        </w:tc>
      </w:tr>
      <w:tr w:rsidR="00921493" w:rsidRPr="00751136" w14:paraId="26343D34" w14:textId="44887807" w:rsidTr="009F10C8">
        <w:tc>
          <w:tcPr>
            <w:tcW w:w="5850" w:type="dxa"/>
            <w:vAlign w:val="bottom"/>
          </w:tcPr>
          <w:p w14:paraId="33EC4BD4" w14:textId="3786C448" w:rsidR="00921493" w:rsidRPr="00751136" w:rsidRDefault="00921493" w:rsidP="0003043C">
            <w:pPr>
              <w:pStyle w:val="BodyTextIndent"/>
              <w:ind w:left="-101"/>
              <w:jc w:val="left"/>
              <w:rPr>
                <w:color w:val="auto"/>
                <w:szCs w:val="20"/>
              </w:rPr>
            </w:pPr>
            <w:r w:rsidRPr="00751136">
              <w:rPr>
                <w:color w:val="auto"/>
                <w:szCs w:val="20"/>
              </w:rPr>
              <w:t>Beginning balance</w:t>
            </w:r>
          </w:p>
        </w:tc>
        <w:tc>
          <w:tcPr>
            <w:tcW w:w="1584" w:type="dxa"/>
          </w:tcPr>
          <w:p w14:paraId="7175F597" w14:textId="06727404" w:rsidR="00921493" w:rsidRPr="00751136" w:rsidRDefault="00921493" w:rsidP="00722BB0">
            <w:pPr>
              <w:pStyle w:val="BodyTextIndent"/>
              <w:ind w:left="0" w:right="-72"/>
              <w:jc w:val="right"/>
              <w:rPr>
                <w:color w:val="auto"/>
                <w:szCs w:val="20"/>
              </w:rPr>
            </w:pPr>
            <w:r w:rsidRPr="00751136">
              <w:t>129,132,981</w:t>
            </w:r>
          </w:p>
        </w:tc>
        <w:tc>
          <w:tcPr>
            <w:tcW w:w="1584" w:type="dxa"/>
            <w:tcBorders>
              <w:top w:val="nil"/>
              <w:left w:val="nil"/>
              <w:bottom w:val="nil"/>
              <w:right w:val="nil"/>
            </w:tcBorders>
            <w:vAlign w:val="bottom"/>
          </w:tcPr>
          <w:p w14:paraId="42CBF9A0" w14:textId="3207D4A8" w:rsidR="00921493" w:rsidRPr="00751136" w:rsidRDefault="00921493" w:rsidP="0003043C">
            <w:pPr>
              <w:pStyle w:val="BodyTextIndent"/>
              <w:ind w:left="0" w:right="-72"/>
              <w:jc w:val="right"/>
              <w:rPr>
                <w:color w:val="auto"/>
                <w:szCs w:val="20"/>
              </w:rPr>
            </w:pPr>
            <w:r w:rsidRPr="00751136">
              <w:rPr>
                <w:color w:val="auto"/>
                <w:szCs w:val="20"/>
              </w:rPr>
              <w:t>-</w:t>
            </w:r>
          </w:p>
        </w:tc>
      </w:tr>
      <w:tr w:rsidR="00921493" w:rsidRPr="00751136" w14:paraId="7CB8F83A" w14:textId="77777777" w:rsidTr="009F10C8">
        <w:tc>
          <w:tcPr>
            <w:tcW w:w="5850" w:type="dxa"/>
            <w:vAlign w:val="bottom"/>
          </w:tcPr>
          <w:p w14:paraId="4FB2D542" w14:textId="781CF731" w:rsidR="00921493" w:rsidRPr="00751136" w:rsidRDefault="00921493" w:rsidP="0003043C">
            <w:pPr>
              <w:pStyle w:val="BodyTextIndent"/>
              <w:tabs>
                <w:tab w:val="left" w:pos="403"/>
              </w:tabs>
              <w:ind w:left="-101"/>
              <w:jc w:val="left"/>
              <w:rPr>
                <w:color w:val="auto"/>
                <w:szCs w:val="20"/>
              </w:rPr>
            </w:pPr>
            <w:r w:rsidRPr="00751136">
              <w:rPr>
                <w:color w:val="auto"/>
                <w:szCs w:val="20"/>
                <w:u w:val="single"/>
              </w:rPr>
              <w:t>Add</w:t>
            </w:r>
            <w:r w:rsidRPr="00751136">
              <w:rPr>
                <w:color w:val="auto"/>
                <w:szCs w:val="20"/>
              </w:rPr>
              <w:tab/>
              <w:t>Net investment income</w:t>
            </w:r>
          </w:p>
        </w:tc>
        <w:tc>
          <w:tcPr>
            <w:tcW w:w="1584" w:type="dxa"/>
          </w:tcPr>
          <w:p w14:paraId="32CD402B" w14:textId="6916A194" w:rsidR="00921493" w:rsidRPr="00751136" w:rsidRDefault="00D47F60" w:rsidP="00722BB0">
            <w:pPr>
              <w:pStyle w:val="BodyTextIndent"/>
              <w:ind w:left="0" w:right="-72"/>
              <w:jc w:val="right"/>
              <w:rPr>
                <w:szCs w:val="20"/>
                <w:lang w:val="en-GB"/>
              </w:rPr>
            </w:pPr>
            <w:r w:rsidRPr="00751136">
              <w:t>471,093,649</w:t>
            </w:r>
          </w:p>
        </w:tc>
        <w:tc>
          <w:tcPr>
            <w:tcW w:w="1584" w:type="dxa"/>
            <w:tcBorders>
              <w:top w:val="nil"/>
              <w:left w:val="nil"/>
              <w:bottom w:val="nil"/>
              <w:right w:val="nil"/>
            </w:tcBorders>
            <w:vAlign w:val="bottom"/>
          </w:tcPr>
          <w:p w14:paraId="1AAC124E" w14:textId="555B8369" w:rsidR="00921493" w:rsidRPr="00751136" w:rsidRDefault="00921493" w:rsidP="0003043C">
            <w:pPr>
              <w:pStyle w:val="BodyTextIndent"/>
              <w:ind w:left="0" w:right="-72"/>
              <w:jc w:val="right"/>
              <w:rPr>
                <w:szCs w:val="20"/>
                <w:lang w:val="en-GB"/>
              </w:rPr>
            </w:pPr>
            <w:r w:rsidRPr="00751136">
              <w:rPr>
                <w:szCs w:val="20"/>
                <w:lang w:val="en-GB"/>
              </w:rPr>
              <w:t>112,716,186</w:t>
            </w:r>
          </w:p>
        </w:tc>
      </w:tr>
      <w:tr w:rsidR="00921493" w:rsidRPr="00751136" w14:paraId="21655F72" w14:textId="77777777" w:rsidTr="009F10C8">
        <w:tc>
          <w:tcPr>
            <w:tcW w:w="5850" w:type="dxa"/>
            <w:vAlign w:val="bottom"/>
          </w:tcPr>
          <w:p w14:paraId="74E7B849" w14:textId="598B6D5A" w:rsidR="00921493" w:rsidRPr="00751136" w:rsidRDefault="00921493" w:rsidP="0003043C">
            <w:pPr>
              <w:pStyle w:val="BodyTextIndent"/>
              <w:tabs>
                <w:tab w:val="left" w:pos="403"/>
              </w:tabs>
              <w:ind w:left="-101"/>
              <w:jc w:val="left"/>
              <w:rPr>
                <w:color w:val="auto"/>
                <w:szCs w:val="20"/>
                <w:u w:val="single"/>
              </w:rPr>
            </w:pPr>
            <w:r w:rsidRPr="00751136">
              <w:rPr>
                <w:color w:val="auto"/>
                <w:szCs w:val="20"/>
                <w:u w:val="single"/>
              </w:rPr>
              <w:t>Less</w:t>
            </w:r>
            <w:r w:rsidRPr="00751136">
              <w:rPr>
                <w:szCs w:val="20"/>
              </w:rPr>
              <w:tab/>
              <w:t xml:space="preserve">Gain (loss) from change </w:t>
            </w:r>
            <w:r w:rsidRPr="00751136">
              <w:rPr>
                <w:color w:val="auto"/>
                <w:szCs w:val="20"/>
              </w:rPr>
              <w:t>in fair value of investments</w:t>
            </w:r>
          </w:p>
        </w:tc>
        <w:tc>
          <w:tcPr>
            <w:tcW w:w="1584" w:type="dxa"/>
          </w:tcPr>
          <w:p w14:paraId="7590CEBD" w14:textId="2F219E40" w:rsidR="00921493" w:rsidRPr="00751136" w:rsidRDefault="00921493" w:rsidP="0003043C">
            <w:pPr>
              <w:pStyle w:val="BodyTextIndent"/>
              <w:ind w:left="0" w:right="-72"/>
              <w:jc w:val="right"/>
              <w:rPr>
                <w:color w:val="auto"/>
                <w:szCs w:val="20"/>
              </w:rPr>
            </w:pPr>
          </w:p>
        </w:tc>
        <w:tc>
          <w:tcPr>
            <w:tcW w:w="1584" w:type="dxa"/>
            <w:tcBorders>
              <w:top w:val="nil"/>
              <w:left w:val="nil"/>
              <w:bottom w:val="nil"/>
              <w:right w:val="nil"/>
            </w:tcBorders>
          </w:tcPr>
          <w:p w14:paraId="7895AEF2" w14:textId="0723701D" w:rsidR="00921493" w:rsidRPr="00751136" w:rsidRDefault="00921493" w:rsidP="0003043C">
            <w:pPr>
              <w:pStyle w:val="BodyTextIndent"/>
              <w:ind w:left="0" w:right="-72"/>
              <w:jc w:val="right"/>
              <w:rPr>
                <w:color w:val="auto"/>
                <w:szCs w:val="20"/>
              </w:rPr>
            </w:pPr>
          </w:p>
        </w:tc>
      </w:tr>
      <w:tr w:rsidR="00921493" w:rsidRPr="00751136" w14:paraId="6B369E0A" w14:textId="77777777" w:rsidTr="009F10C8">
        <w:tc>
          <w:tcPr>
            <w:tcW w:w="5850" w:type="dxa"/>
            <w:vAlign w:val="bottom"/>
          </w:tcPr>
          <w:p w14:paraId="20EFD7A7" w14:textId="78D645A3" w:rsidR="00921493" w:rsidRPr="00751136" w:rsidRDefault="00921493" w:rsidP="0003043C">
            <w:pPr>
              <w:pStyle w:val="BodyTextIndent"/>
              <w:tabs>
                <w:tab w:val="left" w:pos="403"/>
              </w:tabs>
              <w:ind w:left="-101"/>
              <w:jc w:val="left"/>
              <w:rPr>
                <w:color w:val="auto"/>
                <w:szCs w:val="20"/>
              </w:rPr>
            </w:pPr>
            <w:r w:rsidRPr="00751136">
              <w:rPr>
                <w:color w:val="auto"/>
                <w:szCs w:val="20"/>
              </w:rPr>
              <w:t xml:space="preserve">         </w:t>
            </w:r>
            <w:r w:rsidR="00052359" w:rsidRPr="00751136">
              <w:rPr>
                <w:color w:val="auto"/>
                <w:szCs w:val="20"/>
              </w:rPr>
              <w:t xml:space="preserve"> </w:t>
            </w:r>
            <w:r w:rsidRPr="00751136">
              <w:rPr>
                <w:color w:val="auto"/>
                <w:szCs w:val="20"/>
              </w:rPr>
              <w:t xml:space="preserve">  in leasehold properties</w:t>
            </w:r>
          </w:p>
        </w:tc>
        <w:tc>
          <w:tcPr>
            <w:tcW w:w="1584" w:type="dxa"/>
          </w:tcPr>
          <w:p w14:paraId="0546CAE6" w14:textId="37C0C6E8" w:rsidR="00921493" w:rsidRPr="00751136" w:rsidRDefault="00921493" w:rsidP="0003043C">
            <w:pPr>
              <w:pStyle w:val="BodyTextIndent"/>
              <w:ind w:left="0" w:right="-72"/>
              <w:jc w:val="right"/>
              <w:rPr>
                <w:color w:val="auto"/>
                <w:szCs w:val="20"/>
              </w:rPr>
            </w:pPr>
            <w:r w:rsidRPr="00751136">
              <w:t>(21,934,872)</w:t>
            </w:r>
          </w:p>
        </w:tc>
        <w:tc>
          <w:tcPr>
            <w:tcW w:w="1584" w:type="dxa"/>
            <w:tcBorders>
              <w:top w:val="nil"/>
              <w:left w:val="nil"/>
              <w:bottom w:val="nil"/>
              <w:right w:val="nil"/>
            </w:tcBorders>
          </w:tcPr>
          <w:p w14:paraId="2C30E7BA" w14:textId="4F58306E" w:rsidR="00921493" w:rsidRPr="00751136" w:rsidRDefault="00921493" w:rsidP="0003043C">
            <w:pPr>
              <w:pStyle w:val="BodyTextIndent"/>
              <w:ind w:left="0" w:right="-72"/>
              <w:jc w:val="right"/>
              <w:rPr>
                <w:color w:val="auto"/>
                <w:szCs w:val="20"/>
              </w:rPr>
            </w:pPr>
            <w:r w:rsidRPr="00751136">
              <w:rPr>
                <w:color w:val="auto"/>
                <w:szCs w:val="20"/>
              </w:rPr>
              <w:t>15,899,640</w:t>
            </w:r>
          </w:p>
        </w:tc>
      </w:tr>
      <w:tr w:rsidR="00921493" w:rsidRPr="00751136" w14:paraId="45EC2732" w14:textId="77777777" w:rsidTr="00BA7DE2">
        <w:tc>
          <w:tcPr>
            <w:tcW w:w="5850" w:type="dxa"/>
            <w:vAlign w:val="bottom"/>
          </w:tcPr>
          <w:p w14:paraId="5B304EDD" w14:textId="74997273" w:rsidR="00921493" w:rsidRPr="00751136" w:rsidRDefault="00921493" w:rsidP="0003043C">
            <w:pPr>
              <w:pStyle w:val="BodyTextIndent"/>
              <w:tabs>
                <w:tab w:val="left" w:pos="403"/>
              </w:tabs>
              <w:ind w:left="-101"/>
              <w:jc w:val="left"/>
              <w:rPr>
                <w:color w:val="auto"/>
                <w:szCs w:val="20"/>
                <w:u w:val="single"/>
              </w:rPr>
            </w:pPr>
            <w:r w:rsidRPr="00751136">
              <w:rPr>
                <w:color w:val="auto"/>
                <w:szCs w:val="20"/>
                <w:u w:val="single"/>
              </w:rPr>
              <w:t>Add</w:t>
            </w:r>
            <w:r w:rsidRPr="00751136">
              <w:rPr>
                <w:color w:val="auto"/>
                <w:szCs w:val="20"/>
              </w:rPr>
              <w:tab/>
              <w:t>Gain from change in fair value of investments</w:t>
            </w:r>
          </w:p>
        </w:tc>
        <w:tc>
          <w:tcPr>
            <w:tcW w:w="1584" w:type="dxa"/>
          </w:tcPr>
          <w:p w14:paraId="1A155466" w14:textId="799B7AF5" w:rsidR="00921493" w:rsidRPr="00751136" w:rsidRDefault="00921493" w:rsidP="0003043C">
            <w:pPr>
              <w:pStyle w:val="BodyTextIndent"/>
              <w:ind w:left="0" w:right="-72"/>
              <w:jc w:val="right"/>
              <w:rPr>
                <w:color w:val="auto"/>
                <w:szCs w:val="20"/>
              </w:rPr>
            </w:pPr>
          </w:p>
        </w:tc>
        <w:tc>
          <w:tcPr>
            <w:tcW w:w="1584" w:type="dxa"/>
            <w:tcBorders>
              <w:top w:val="nil"/>
              <w:left w:val="nil"/>
              <w:right w:val="nil"/>
            </w:tcBorders>
          </w:tcPr>
          <w:p w14:paraId="674E67AC" w14:textId="07E2925B" w:rsidR="00921493" w:rsidRPr="00751136" w:rsidRDefault="00921493" w:rsidP="0003043C">
            <w:pPr>
              <w:pStyle w:val="BodyTextIndent"/>
              <w:ind w:left="0" w:right="-72"/>
              <w:jc w:val="right"/>
              <w:rPr>
                <w:color w:val="auto"/>
                <w:szCs w:val="20"/>
              </w:rPr>
            </w:pPr>
          </w:p>
        </w:tc>
      </w:tr>
      <w:tr w:rsidR="00921493" w:rsidRPr="00751136" w14:paraId="111D5AF4" w14:textId="77777777" w:rsidTr="00BA7DE2">
        <w:tc>
          <w:tcPr>
            <w:tcW w:w="5850" w:type="dxa"/>
            <w:vAlign w:val="bottom"/>
          </w:tcPr>
          <w:p w14:paraId="150924FA" w14:textId="4F3A78F2" w:rsidR="00921493" w:rsidRPr="00751136" w:rsidRDefault="00921493" w:rsidP="0003043C">
            <w:pPr>
              <w:pStyle w:val="BodyTextIndent"/>
              <w:tabs>
                <w:tab w:val="left" w:pos="403"/>
              </w:tabs>
              <w:ind w:left="-101"/>
              <w:jc w:val="left"/>
              <w:rPr>
                <w:color w:val="auto"/>
                <w:szCs w:val="20"/>
              </w:rPr>
            </w:pPr>
            <w:r w:rsidRPr="00751136">
              <w:rPr>
                <w:color w:val="auto"/>
                <w:szCs w:val="20"/>
              </w:rPr>
              <w:t xml:space="preserve">         </w:t>
            </w:r>
            <w:r w:rsidR="00052359" w:rsidRPr="00751136">
              <w:rPr>
                <w:color w:val="auto"/>
                <w:szCs w:val="20"/>
              </w:rPr>
              <w:t xml:space="preserve"> </w:t>
            </w:r>
            <w:r w:rsidRPr="00751136">
              <w:rPr>
                <w:color w:val="auto"/>
                <w:szCs w:val="20"/>
              </w:rPr>
              <w:t xml:space="preserve">  measured at fair value through profit or loss</w:t>
            </w:r>
          </w:p>
        </w:tc>
        <w:tc>
          <w:tcPr>
            <w:tcW w:w="1584" w:type="dxa"/>
          </w:tcPr>
          <w:p w14:paraId="038A7B28" w14:textId="5CC9108C" w:rsidR="00921493" w:rsidRPr="00751136" w:rsidRDefault="00921493" w:rsidP="0003043C">
            <w:pPr>
              <w:pStyle w:val="BodyTextIndent"/>
              <w:ind w:left="0" w:right="-72"/>
              <w:jc w:val="right"/>
              <w:rPr>
                <w:color w:val="auto"/>
                <w:szCs w:val="20"/>
              </w:rPr>
            </w:pPr>
            <w:r w:rsidRPr="00751136">
              <w:t>289,659</w:t>
            </w:r>
          </w:p>
        </w:tc>
        <w:tc>
          <w:tcPr>
            <w:tcW w:w="1584" w:type="dxa"/>
            <w:tcBorders>
              <w:top w:val="nil"/>
              <w:left w:val="nil"/>
              <w:right w:val="nil"/>
            </w:tcBorders>
          </w:tcPr>
          <w:p w14:paraId="1ADC5108" w14:textId="3F538E64" w:rsidR="00921493" w:rsidRPr="00751136" w:rsidRDefault="00921493" w:rsidP="0003043C">
            <w:pPr>
              <w:pStyle w:val="BodyTextIndent"/>
              <w:ind w:left="0" w:right="-72"/>
              <w:jc w:val="right"/>
              <w:rPr>
                <w:color w:val="auto"/>
                <w:szCs w:val="20"/>
              </w:rPr>
            </w:pPr>
            <w:r w:rsidRPr="00751136">
              <w:rPr>
                <w:color w:val="auto"/>
                <w:szCs w:val="20"/>
              </w:rPr>
              <w:t>517,155</w:t>
            </w:r>
          </w:p>
        </w:tc>
      </w:tr>
      <w:tr w:rsidR="00586162" w:rsidRPr="00751136" w14:paraId="51691BFB" w14:textId="77777777" w:rsidTr="00BA7DE2">
        <w:tc>
          <w:tcPr>
            <w:tcW w:w="5850" w:type="dxa"/>
            <w:vAlign w:val="bottom"/>
          </w:tcPr>
          <w:p w14:paraId="21698A71" w14:textId="55070998" w:rsidR="00586162" w:rsidRPr="00751136" w:rsidRDefault="00586162" w:rsidP="0003043C">
            <w:pPr>
              <w:pStyle w:val="BodyTextIndent"/>
              <w:tabs>
                <w:tab w:val="left" w:pos="403"/>
              </w:tabs>
              <w:ind w:left="-101"/>
              <w:jc w:val="left"/>
              <w:rPr>
                <w:color w:val="auto"/>
                <w:szCs w:val="20"/>
              </w:rPr>
            </w:pPr>
            <w:r w:rsidRPr="00751136">
              <w:rPr>
                <w:color w:val="auto"/>
                <w:szCs w:val="20"/>
                <w:u w:val="single"/>
              </w:rPr>
              <w:t>Less</w:t>
            </w:r>
            <w:r w:rsidR="00052359" w:rsidRPr="00751136">
              <w:rPr>
                <w:color w:val="auto"/>
                <w:szCs w:val="20"/>
              </w:rPr>
              <w:tab/>
            </w:r>
            <w:r w:rsidRPr="00751136">
              <w:rPr>
                <w:color w:val="auto"/>
                <w:szCs w:val="20"/>
              </w:rPr>
              <w:t>Distribution to unitholders</w:t>
            </w:r>
          </w:p>
        </w:tc>
        <w:tc>
          <w:tcPr>
            <w:tcW w:w="1584" w:type="dxa"/>
            <w:tcBorders>
              <w:bottom w:val="single" w:sz="4" w:space="0" w:color="auto"/>
            </w:tcBorders>
          </w:tcPr>
          <w:p w14:paraId="68F0C473" w14:textId="52703FDD" w:rsidR="00586162" w:rsidRPr="00751136" w:rsidRDefault="00921493" w:rsidP="0003043C">
            <w:pPr>
              <w:pStyle w:val="BodyTextIndent"/>
              <w:ind w:left="0" w:right="-72"/>
              <w:jc w:val="right"/>
            </w:pPr>
            <w:r w:rsidRPr="00751136">
              <w:t>(513,513,812)</w:t>
            </w:r>
          </w:p>
        </w:tc>
        <w:tc>
          <w:tcPr>
            <w:tcW w:w="1584" w:type="dxa"/>
            <w:tcBorders>
              <w:left w:val="nil"/>
              <w:bottom w:val="single" w:sz="4" w:space="0" w:color="auto"/>
              <w:right w:val="nil"/>
            </w:tcBorders>
          </w:tcPr>
          <w:p w14:paraId="77AD60D7" w14:textId="2A56A836" w:rsidR="00586162" w:rsidRPr="00751136" w:rsidRDefault="000C76B9" w:rsidP="0003043C">
            <w:pPr>
              <w:pStyle w:val="BodyTextIndent"/>
              <w:ind w:left="0" w:right="-72"/>
              <w:jc w:val="right"/>
            </w:pPr>
            <w:r w:rsidRPr="00751136">
              <w:t>-</w:t>
            </w:r>
          </w:p>
        </w:tc>
      </w:tr>
      <w:tr w:rsidR="009F10C8" w:rsidRPr="00751136" w14:paraId="6F212716" w14:textId="77777777" w:rsidTr="004C608B">
        <w:tc>
          <w:tcPr>
            <w:tcW w:w="5850" w:type="dxa"/>
            <w:vAlign w:val="bottom"/>
          </w:tcPr>
          <w:p w14:paraId="48CA4B5F" w14:textId="77777777" w:rsidR="009F10C8" w:rsidRPr="00751136" w:rsidRDefault="009F10C8" w:rsidP="0003043C">
            <w:pPr>
              <w:pStyle w:val="BodyTextIndent"/>
              <w:ind w:left="-101"/>
              <w:jc w:val="left"/>
              <w:rPr>
                <w:color w:val="auto"/>
                <w:szCs w:val="20"/>
                <w:lang w:val="en-GB"/>
              </w:rPr>
            </w:pPr>
          </w:p>
        </w:tc>
        <w:tc>
          <w:tcPr>
            <w:tcW w:w="1584" w:type="dxa"/>
            <w:tcBorders>
              <w:top w:val="single" w:sz="4" w:space="0" w:color="auto"/>
            </w:tcBorders>
          </w:tcPr>
          <w:p w14:paraId="0176F3C6" w14:textId="77777777" w:rsidR="009F10C8" w:rsidRPr="00751136" w:rsidRDefault="009F10C8" w:rsidP="00722BB0">
            <w:pPr>
              <w:pStyle w:val="BodyTextIndent"/>
              <w:ind w:left="0" w:right="-72"/>
              <w:jc w:val="right"/>
            </w:pPr>
          </w:p>
        </w:tc>
        <w:tc>
          <w:tcPr>
            <w:tcW w:w="1584" w:type="dxa"/>
            <w:tcBorders>
              <w:top w:val="single" w:sz="4" w:space="0" w:color="auto"/>
            </w:tcBorders>
            <w:vAlign w:val="bottom"/>
          </w:tcPr>
          <w:p w14:paraId="13BA5A26" w14:textId="72A3656D" w:rsidR="009F10C8" w:rsidRPr="00751136" w:rsidRDefault="009F10C8" w:rsidP="00722BB0">
            <w:pPr>
              <w:pStyle w:val="BodyTextIndent"/>
              <w:ind w:left="0" w:right="-72"/>
              <w:jc w:val="right"/>
            </w:pPr>
          </w:p>
        </w:tc>
      </w:tr>
      <w:tr w:rsidR="009F10C8" w:rsidRPr="00751136" w14:paraId="60A6D2CB" w14:textId="496DD94E" w:rsidTr="004C608B">
        <w:tc>
          <w:tcPr>
            <w:tcW w:w="5850" w:type="dxa"/>
            <w:vAlign w:val="bottom"/>
          </w:tcPr>
          <w:p w14:paraId="1D860624" w14:textId="484E4582" w:rsidR="009F10C8" w:rsidRPr="00751136" w:rsidRDefault="009F10C8" w:rsidP="0003043C">
            <w:pPr>
              <w:pStyle w:val="BodyTextIndent"/>
              <w:ind w:left="-101"/>
              <w:jc w:val="left"/>
              <w:rPr>
                <w:color w:val="auto"/>
                <w:szCs w:val="20"/>
                <w:lang w:val="en-GB"/>
              </w:rPr>
            </w:pPr>
            <w:r w:rsidRPr="00751136">
              <w:rPr>
                <w:color w:val="auto"/>
                <w:szCs w:val="20"/>
              </w:rPr>
              <w:t>Ending balance</w:t>
            </w:r>
          </w:p>
        </w:tc>
        <w:tc>
          <w:tcPr>
            <w:tcW w:w="1584" w:type="dxa"/>
            <w:tcBorders>
              <w:bottom w:val="single" w:sz="4" w:space="0" w:color="auto"/>
            </w:tcBorders>
          </w:tcPr>
          <w:p w14:paraId="06670C7A" w14:textId="46A7EB0F" w:rsidR="009F10C8" w:rsidRPr="00751136" w:rsidRDefault="00D47F60" w:rsidP="0003043C">
            <w:pPr>
              <w:pStyle w:val="BodyTextIndent"/>
              <w:ind w:left="0" w:right="-72"/>
              <w:jc w:val="right"/>
            </w:pPr>
            <w:r w:rsidRPr="00751136">
              <w:t>65,067,605</w:t>
            </w:r>
          </w:p>
        </w:tc>
        <w:tc>
          <w:tcPr>
            <w:tcW w:w="1584" w:type="dxa"/>
            <w:tcBorders>
              <w:bottom w:val="single" w:sz="4" w:space="0" w:color="auto"/>
            </w:tcBorders>
            <w:vAlign w:val="bottom"/>
          </w:tcPr>
          <w:p w14:paraId="3CF0101C" w14:textId="4B729911" w:rsidR="009F10C8" w:rsidRPr="00751136" w:rsidRDefault="009F10C8" w:rsidP="0003043C">
            <w:pPr>
              <w:pStyle w:val="BodyTextIndent"/>
              <w:ind w:left="0" w:right="-72"/>
              <w:jc w:val="right"/>
            </w:pPr>
            <w:r w:rsidRPr="00751136">
              <w:t>129,132,981</w:t>
            </w:r>
          </w:p>
        </w:tc>
      </w:tr>
    </w:tbl>
    <w:p w14:paraId="4A8E2357" w14:textId="77777777" w:rsidR="004C608B" w:rsidRPr="00751136" w:rsidRDefault="004C608B" w:rsidP="0003043C">
      <w:pPr>
        <w:pStyle w:val="BodyTextIndent"/>
        <w:ind w:left="540" w:hanging="540"/>
        <w:rPr>
          <w:color w:val="auto"/>
          <w:szCs w:val="20"/>
          <w:lang w:val="en-GB"/>
        </w:rPr>
      </w:pPr>
    </w:p>
    <w:p w14:paraId="61C3F87D" w14:textId="77777777" w:rsidR="00722BB0" w:rsidRPr="00751136" w:rsidRDefault="00722BB0" w:rsidP="0003043C">
      <w:pPr>
        <w:pStyle w:val="BodyTextIndent"/>
        <w:ind w:left="540" w:hanging="540"/>
        <w:rPr>
          <w:color w:val="auto"/>
          <w:szCs w:val="20"/>
          <w:lang w:val="en-GB"/>
        </w:rPr>
      </w:pPr>
    </w:p>
    <w:p w14:paraId="468BB53D" w14:textId="3F965720" w:rsidR="00930A0C" w:rsidRPr="00751136" w:rsidRDefault="002324FE" w:rsidP="0003043C">
      <w:pPr>
        <w:pStyle w:val="BodyTextIndent"/>
        <w:ind w:left="540" w:hanging="540"/>
        <w:rPr>
          <w:b/>
          <w:bCs/>
          <w:color w:val="auto"/>
          <w:szCs w:val="20"/>
        </w:rPr>
      </w:pPr>
      <w:r w:rsidRPr="00751136">
        <w:rPr>
          <w:b/>
          <w:bCs/>
          <w:color w:val="auto"/>
          <w:szCs w:val="20"/>
        </w:rPr>
        <w:t>11</w:t>
      </w:r>
      <w:r w:rsidR="00AD28F2" w:rsidRPr="00751136">
        <w:rPr>
          <w:b/>
          <w:bCs/>
          <w:color w:val="auto"/>
          <w:szCs w:val="20"/>
        </w:rPr>
        <w:tab/>
      </w:r>
      <w:r w:rsidR="00930A0C" w:rsidRPr="00751136">
        <w:rPr>
          <w:b/>
          <w:bCs/>
          <w:color w:val="auto"/>
          <w:szCs w:val="20"/>
        </w:rPr>
        <w:t>Expenses</w:t>
      </w:r>
    </w:p>
    <w:p w14:paraId="78B4CB0F" w14:textId="77777777" w:rsidR="00FD5BAF" w:rsidRPr="00751136" w:rsidRDefault="00FD5BAF" w:rsidP="0003043C">
      <w:pPr>
        <w:tabs>
          <w:tab w:val="left" w:pos="9098"/>
        </w:tabs>
        <w:jc w:val="thaiDistribute"/>
        <w:rPr>
          <w:color w:val="auto"/>
          <w:lang w:val="en-GB"/>
        </w:rPr>
      </w:pPr>
    </w:p>
    <w:p w14:paraId="36912C25" w14:textId="77777777" w:rsidR="00930A0C" w:rsidRPr="00751136" w:rsidRDefault="00930A0C" w:rsidP="0003043C">
      <w:pPr>
        <w:pStyle w:val="BodyTextIndent"/>
        <w:ind w:left="0"/>
        <w:rPr>
          <w:color w:val="auto"/>
          <w:szCs w:val="20"/>
          <w:lang w:val="en-GB"/>
        </w:rPr>
      </w:pPr>
      <w:r w:rsidRPr="00751136">
        <w:rPr>
          <w:b/>
          <w:bCs/>
          <w:color w:val="auto"/>
          <w:szCs w:val="20"/>
          <w:lang w:val="en-GB"/>
        </w:rPr>
        <w:t>Management fee</w:t>
      </w:r>
    </w:p>
    <w:p w14:paraId="7A575F7B" w14:textId="77777777" w:rsidR="00930A0C" w:rsidRPr="00751136" w:rsidRDefault="00930A0C" w:rsidP="0003043C">
      <w:pPr>
        <w:tabs>
          <w:tab w:val="left" w:pos="9098"/>
        </w:tabs>
        <w:jc w:val="thaiDistribute"/>
        <w:rPr>
          <w:color w:val="auto"/>
          <w:lang w:val="en-GB"/>
        </w:rPr>
      </w:pPr>
    </w:p>
    <w:p w14:paraId="67ECCA92" w14:textId="091B8BD0" w:rsidR="00921493" w:rsidRPr="00751136" w:rsidRDefault="002C1652" w:rsidP="0003043C">
      <w:pPr>
        <w:tabs>
          <w:tab w:val="left" w:pos="9098"/>
        </w:tabs>
        <w:jc w:val="both"/>
        <w:rPr>
          <w:color w:val="auto"/>
          <w:lang w:val="en-GB"/>
        </w:rPr>
      </w:pPr>
      <w:r w:rsidRPr="00751136">
        <w:rPr>
          <w:color w:val="auto"/>
          <w:lang w:val="en-GB"/>
        </w:rPr>
        <w:t>T</w:t>
      </w:r>
      <w:r w:rsidR="00930A0C" w:rsidRPr="00751136">
        <w:rPr>
          <w:color w:val="auto"/>
          <w:lang w:val="en-GB"/>
        </w:rPr>
        <w:t xml:space="preserve">he </w:t>
      </w:r>
      <w:r w:rsidR="000C1DE1" w:rsidRPr="00751136">
        <w:rPr>
          <w:color w:val="auto"/>
          <w:lang w:val="en-GB"/>
        </w:rPr>
        <w:t>REIT Manager</w:t>
      </w:r>
      <w:r w:rsidR="00930A0C" w:rsidRPr="00751136">
        <w:rPr>
          <w:color w:val="auto"/>
          <w:lang w:val="en-GB"/>
        </w:rPr>
        <w:t xml:space="preserve"> is entitled to receive a monthly management fee from th</w:t>
      </w:r>
      <w:r w:rsidR="00B8481A" w:rsidRPr="00751136">
        <w:rPr>
          <w:color w:val="auto"/>
          <w:lang w:val="en-GB"/>
        </w:rPr>
        <w:t xml:space="preserve">e </w:t>
      </w:r>
      <w:r w:rsidR="00F20ACE" w:rsidRPr="00751136">
        <w:rPr>
          <w:color w:val="auto"/>
          <w:lang w:val="en-GB"/>
        </w:rPr>
        <w:t>Trust</w:t>
      </w:r>
      <w:r w:rsidR="00B8481A" w:rsidRPr="00751136">
        <w:rPr>
          <w:color w:val="auto"/>
          <w:lang w:val="en-GB"/>
        </w:rPr>
        <w:t xml:space="preserve"> at a rate</w:t>
      </w:r>
      <w:r w:rsidR="0048767A" w:rsidRPr="00751136">
        <w:rPr>
          <w:color w:val="auto"/>
          <w:lang w:val="en-GB"/>
        </w:rPr>
        <w:t xml:space="preserve"> not exceeding</w:t>
      </w:r>
      <w:r w:rsidR="00B8481A" w:rsidRPr="00751136">
        <w:rPr>
          <w:color w:val="auto"/>
          <w:lang w:val="en-GB"/>
        </w:rPr>
        <w:t xml:space="preserve"> </w:t>
      </w:r>
      <w:r w:rsidR="00E562B8" w:rsidRPr="00751136">
        <w:rPr>
          <w:color w:val="auto"/>
          <w:lang w:val="en-GB"/>
        </w:rPr>
        <w:t>1.50</w:t>
      </w:r>
      <w:r w:rsidR="00930A0C" w:rsidRPr="00751136">
        <w:rPr>
          <w:color w:val="auto"/>
          <w:lang w:val="en-GB"/>
        </w:rPr>
        <w:t xml:space="preserve">% per annum (exclusive of value added </w:t>
      </w:r>
      <w:r w:rsidR="003A0BD5" w:rsidRPr="00751136">
        <w:rPr>
          <w:color w:val="auto"/>
          <w:lang w:val="en-GB"/>
        </w:rPr>
        <w:t>tax</w:t>
      </w:r>
      <w:r w:rsidR="00FC109D" w:rsidRPr="00751136">
        <w:rPr>
          <w:color w:val="auto"/>
          <w:lang w:val="en-GB"/>
        </w:rPr>
        <w:t>,</w:t>
      </w:r>
      <w:r w:rsidR="00930A0C" w:rsidRPr="00751136">
        <w:rPr>
          <w:color w:val="auto"/>
          <w:lang w:val="en-GB"/>
        </w:rPr>
        <w:t xml:space="preserve"> specific business tax or any other similar tax) of the net asset value of the </w:t>
      </w:r>
      <w:r w:rsidR="00F20ACE" w:rsidRPr="00751136">
        <w:rPr>
          <w:color w:val="auto"/>
          <w:lang w:val="en-GB"/>
        </w:rPr>
        <w:t>Trust</w:t>
      </w:r>
      <w:r w:rsidR="00930A0C" w:rsidRPr="00751136">
        <w:rPr>
          <w:color w:val="auto"/>
          <w:lang w:val="en-GB"/>
        </w:rPr>
        <w:t xml:space="preserve"> as calculated by the </w:t>
      </w:r>
      <w:r w:rsidR="000C1DE1" w:rsidRPr="00751136">
        <w:rPr>
          <w:color w:val="auto"/>
          <w:lang w:val="en-GB"/>
        </w:rPr>
        <w:t>REIT Manager</w:t>
      </w:r>
      <w:r w:rsidR="00930A0C" w:rsidRPr="00751136">
        <w:rPr>
          <w:color w:val="auto"/>
          <w:lang w:val="en-GB"/>
        </w:rPr>
        <w:t xml:space="preserve"> and verified by </w:t>
      </w:r>
      <w:r w:rsidR="00217DD9" w:rsidRPr="00751136">
        <w:rPr>
          <w:color w:val="auto"/>
          <w:lang w:val="en-GB"/>
        </w:rPr>
        <w:t xml:space="preserve">the </w:t>
      </w:r>
      <w:r w:rsidR="004E0235" w:rsidRPr="00751136">
        <w:rPr>
          <w:color w:val="auto"/>
          <w:lang w:val="en-GB"/>
        </w:rPr>
        <w:t>Trustee</w:t>
      </w:r>
      <w:r w:rsidR="00930A0C" w:rsidRPr="00751136">
        <w:rPr>
          <w:color w:val="auto"/>
          <w:lang w:val="en-GB"/>
        </w:rPr>
        <w:t>.</w:t>
      </w:r>
    </w:p>
    <w:p w14:paraId="3F2CAD22" w14:textId="77777777" w:rsidR="00921493" w:rsidRPr="00751136" w:rsidRDefault="00921493" w:rsidP="0003043C">
      <w:pPr>
        <w:pStyle w:val="BodyTextIndent"/>
        <w:ind w:left="0"/>
        <w:rPr>
          <w:color w:val="auto"/>
          <w:szCs w:val="20"/>
        </w:rPr>
      </w:pPr>
    </w:p>
    <w:p w14:paraId="74475567" w14:textId="77777777" w:rsidR="003F31C4" w:rsidRPr="00751136" w:rsidRDefault="003F31C4" w:rsidP="0003043C">
      <w:pPr>
        <w:pStyle w:val="BodyTextIndent"/>
        <w:ind w:left="0"/>
        <w:rPr>
          <w:b/>
          <w:bCs/>
          <w:color w:val="auto"/>
          <w:szCs w:val="20"/>
          <w:lang w:val="en-GB"/>
        </w:rPr>
      </w:pPr>
      <w:r w:rsidRPr="00751136">
        <w:rPr>
          <w:b/>
          <w:bCs/>
          <w:color w:val="auto"/>
          <w:szCs w:val="20"/>
          <w:lang w:val="en-GB"/>
        </w:rPr>
        <w:t>Trustee fee</w:t>
      </w:r>
    </w:p>
    <w:p w14:paraId="6FA43F4F" w14:textId="77777777" w:rsidR="003F31C4" w:rsidRPr="00751136" w:rsidRDefault="003F31C4" w:rsidP="0003043C">
      <w:pPr>
        <w:tabs>
          <w:tab w:val="left" w:pos="9098"/>
        </w:tabs>
        <w:jc w:val="thaiDistribute"/>
        <w:rPr>
          <w:color w:val="auto"/>
          <w:lang w:val="en-GB"/>
        </w:rPr>
      </w:pPr>
    </w:p>
    <w:p w14:paraId="0B1DB350" w14:textId="4AA00AEF" w:rsidR="003F31C4" w:rsidRPr="00751136" w:rsidRDefault="00217DD9" w:rsidP="0003043C">
      <w:pPr>
        <w:pStyle w:val="BodyTextIndent"/>
        <w:ind w:left="0"/>
        <w:rPr>
          <w:color w:val="auto"/>
          <w:szCs w:val="20"/>
          <w:lang w:val="en-GB"/>
        </w:rPr>
      </w:pPr>
      <w:r w:rsidRPr="00751136">
        <w:rPr>
          <w:color w:val="auto"/>
          <w:szCs w:val="20"/>
          <w:lang w:val="en-GB"/>
        </w:rPr>
        <w:t xml:space="preserve">The </w:t>
      </w:r>
      <w:r w:rsidR="004E0235" w:rsidRPr="00751136">
        <w:rPr>
          <w:color w:val="auto"/>
          <w:szCs w:val="20"/>
          <w:lang w:val="en-GB"/>
        </w:rPr>
        <w:t>Trustee</w:t>
      </w:r>
      <w:r w:rsidR="003F31C4" w:rsidRPr="00751136">
        <w:rPr>
          <w:color w:val="auto"/>
          <w:szCs w:val="20"/>
          <w:lang w:val="en-GB"/>
        </w:rPr>
        <w:t xml:space="preserve"> is entitled to receive a monthly remuneration at a rate</w:t>
      </w:r>
      <w:r w:rsidR="0048767A" w:rsidRPr="00751136">
        <w:rPr>
          <w:color w:val="auto"/>
          <w:szCs w:val="20"/>
          <w:lang w:val="en-GB"/>
        </w:rPr>
        <w:t xml:space="preserve"> not exceeding</w:t>
      </w:r>
      <w:r w:rsidR="0091007C" w:rsidRPr="00751136">
        <w:rPr>
          <w:color w:val="auto"/>
          <w:szCs w:val="20"/>
          <w:lang w:val="en-GB"/>
        </w:rPr>
        <w:t xml:space="preserve"> </w:t>
      </w:r>
      <w:r w:rsidR="00E562B8" w:rsidRPr="00751136">
        <w:rPr>
          <w:color w:val="auto"/>
          <w:szCs w:val="20"/>
          <w:lang w:val="en-GB"/>
        </w:rPr>
        <w:t>1.00</w:t>
      </w:r>
      <w:r w:rsidR="00D03DEA" w:rsidRPr="00751136">
        <w:rPr>
          <w:color w:val="auto"/>
          <w:szCs w:val="20"/>
          <w:lang w:val="en-GB"/>
        </w:rPr>
        <w:t>% per annum</w:t>
      </w:r>
      <w:r w:rsidR="0091007C" w:rsidRPr="00751136">
        <w:rPr>
          <w:color w:val="auto"/>
          <w:szCs w:val="20"/>
          <w:lang w:val="en-GB"/>
        </w:rPr>
        <w:t xml:space="preserve"> </w:t>
      </w:r>
      <w:r w:rsidR="003F31C4" w:rsidRPr="00751136">
        <w:rPr>
          <w:color w:val="auto"/>
          <w:szCs w:val="20"/>
          <w:lang w:val="en-GB"/>
        </w:rPr>
        <w:t xml:space="preserve">(exclusive of value added tax, specific business tax or any other similar tax) of the net asset value of the </w:t>
      </w:r>
      <w:r w:rsidR="00F20ACE" w:rsidRPr="00751136">
        <w:rPr>
          <w:color w:val="auto"/>
          <w:szCs w:val="20"/>
          <w:lang w:val="en-GB"/>
        </w:rPr>
        <w:t>Trust</w:t>
      </w:r>
      <w:r w:rsidR="003F31C4" w:rsidRPr="00751136">
        <w:rPr>
          <w:color w:val="auto"/>
          <w:szCs w:val="20"/>
          <w:lang w:val="en-GB"/>
        </w:rPr>
        <w:t xml:space="preserve"> as calculated by the </w:t>
      </w:r>
      <w:r w:rsidR="000C1DE1" w:rsidRPr="00751136">
        <w:rPr>
          <w:color w:val="auto"/>
          <w:szCs w:val="20"/>
          <w:lang w:val="en-GB"/>
        </w:rPr>
        <w:t>REIT Manager</w:t>
      </w:r>
      <w:r w:rsidR="00710C83" w:rsidRPr="00751136">
        <w:rPr>
          <w:color w:val="auto"/>
          <w:szCs w:val="20"/>
          <w:lang w:val="en-GB"/>
        </w:rPr>
        <w:t xml:space="preserve"> and verified by </w:t>
      </w:r>
      <w:r w:rsidRPr="00751136">
        <w:rPr>
          <w:color w:val="auto"/>
          <w:szCs w:val="20"/>
          <w:lang w:val="en-GB"/>
        </w:rPr>
        <w:t xml:space="preserve">the </w:t>
      </w:r>
      <w:r w:rsidR="004E0235" w:rsidRPr="00751136">
        <w:rPr>
          <w:color w:val="auto"/>
          <w:szCs w:val="20"/>
          <w:lang w:val="en-GB"/>
        </w:rPr>
        <w:t>Trustee</w:t>
      </w:r>
      <w:r w:rsidR="00710C83" w:rsidRPr="00751136">
        <w:rPr>
          <w:color w:val="auto"/>
          <w:szCs w:val="20"/>
          <w:lang w:val="en-GB"/>
        </w:rPr>
        <w:t xml:space="preserve">. </w:t>
      </w:r>
    </w:p>
    <w:p w14:paraId="74800D7B" w14:textId="77777777" w:rsidR="00921493" w:rsidRPr="00751136" w:rsidRDefault="00921493" w:rsidP="0003043C">
      <w:pPr>
        <w:pStyle w:val="BodyTextIndent"/>
        <w:ind w:left="0"/>
        <w:rPr>
          <w:b/>
          <w:bCs/>
          <w:color w:val="auto"/>
        </w:rPr>
      </w:pPr>
    </w:p>
    <w:p w14:paraId="0EA88311" w14:textId="6D6C72E1" w:rsidR="00B6386F" w:rsidRPr="00751136" w:rsidRDefault="00B6386F" w:rsidP="0003043C">
      <w:pPr>
        <w:pStyle w:val="BodyTextIndent"/>
        <w:ind w:left="0"/>
        <w:rPr>
          <w:b/>
          <w:bCs/>
          <w:color w:val="auto"/>
        </w:rPr>
      </w:pPr>
      <w:r w:rsidRPr="00751136">
        <w:rPr>
          <w:b/>
          <w:bCs/>
          <w:color w:val="auto"/>
        </w:rPr>
        <w:t>Registrar fee</w:t>
      </w:r>
    </w:p>
    <w:p w14:paraId="76EE5630" w14:textId="77777777" w:rsidR="001547AE" w:rsidRPr="00751136" w:rsidRDefault="001547AE" w:rsidP="0003043C">
      <w:pPr>
        <w:pStyle w:val="BodyTextIndent"/>
        <w:ind w:left="0"/>
        <w:rPr>
          <w:rFonts w:eastAsia="Times New Roman"/>
          <w:color w:val="auto"/>
          <w:szCs w:val="20"/>
          <w:lang w:val="en-GB"/>
        </w:rPr>
      </w:pPr>
    </w:p>
    <w:p w14:paraId="09DAEA00" w14:textId="2AA99F2D" w:rsidR="00785707" w:rsidRPr="00751136" w:rsidRDefault="00FE40BF" w:rsidP="0003043C">
      <w:pPr>
        <w:pStyle w:val="BodyTextIndent"/>
        <w:ind w:left="0"/>
        <w:rPr>
          <w:rFonts w:eastAsia="Times New Roman"/>
          <w:color w:val="auto"/>
          <w:szCs w:val="20"/>
          <w:cs/>
          <w:lang w:val="en-GB"/>
        </w:rPr>
      </w:pPr>
      <w:r w:rsidRPr="00751136">
        <w:rPr>
          <w:rFonts w:eastAsia="Times New Roman"/>
          <w:color w:val="auto"/>
          <w:szCs w:val="20"/>
          <w:lang w:val="en-GB"/>
        </w:rPr>
        <w:t xml:space="preserve">Registrar fee shall be paid based on the actual amounts </w:t>
      </w:r>
      <w:r w:rsidR="0007488C" w:rsidRPr="00751136">
        <w:rPr>
          <w:rFonts w:eastAsia="Times New Roman"/>
          <w:color w:val="auto"/>
          <w:szCs w:val="20"/>
          <w:lang w:val="en-GB"/>
        </w:rPr>
        <w:t>charged at the rate determined by the registrar.</w:t>
      </w:r>
      <w:r w:rsidR="0007488C" w:rsidRPr="00751136">
        <w:rPr>
          <w:rFonts w:eastAsia="Times New Roman"/>
          <w:color w:val="auto"/>
          <w:szCs w:val="25"/>
        </w:rPr>
        <w:t xml:space="preserve"> </w:t>
      </w:r>
      <w:r w:rsidR="0007488C" w:rsidRPr="00751136">
        <w:rPr>
          <w:rFonts w:eastAsia="Times New Roman"/>
          <w:color w:val="auto"/>
          <w:szCs w:val="20"/>
          <w:lang w:val="en-GB"/>
        </w:rPr>
        <w:t>T</w:t>
      </w:r>
      <w:r w:rsidR="00192917" w:rsidRPr="00751136">
        <w:rPr>
          <w:rFonts w:eastAsia="Times New Roman"/>
          <w:color w:val="auto"/>
          <w:szCs w:val="20"/>
          <w:lang w:val="en-GB"/>
        </w:rPr>
        <w:t>his</w:t>
      </w:r>
      <w:r w:rsidR="0007488C" w:rsidRPr="00751136">
        <w:rPr>
          <w:rFonts w:eastAsia="Times New Roman"/>
          <w:color w:val="auto"/>
          <w:szCs w:val="20"/>
          <w:lang w:val="en-GB"/>
        </w:rPr>
        <w:t xml:space="preserve"> fee can be paid annually or as specific transactions that incur fees arise</w:t>
      </w:r>
      <w:r w:rsidRPr="00751136">
        <w:rPr>
          <w:rFonts w:eastAsia="Times New Roman"/>
          <w:color w:val="auto"/>
          <w:szCs w:val="20"/>
          <w:lang w:val="en-GB"/>
        </w:rPr>
        <w:t>, as applicable.</w:t>
      </w:r>
    </w:p>
    <w:p w14:paraId="1A34D521" w14:textId="77777777" w:rsidR="006E7553" w:rsidRPr="00751136" w:rsidRDefault="006E7553" w:rsidP="0003043C">
      <w:pPr>
        <w:pStyle w:val="BodyTextIndent"/>
        <w:ind w:left="0"/>
        <w:rPr>
          <w:b/>
          <w:bCs/>
          <w:color w:val="auto"/>
          <w:szCs w:val="20"/>
          <w:lang w:val="en-GB"/>
        </w:rPr>
      </w:pPr>
    </w:p>
    <w:p w14:paraId="0607456B" w14:textId="26214394" w:rsidR="00930A0C" w:rsidRPr="00751136" w:rsidRDefault="00930A0C" w:rsidP="0003043C">
      <w:pPr>
        <w:pStyle w:val="BodyTextIndent"/>
        <w:ind w:left="0"/>
        <w:rPr>
          <w:b/>
          <w:bCs/>
          <w:color w:val="auto"/>
          <w:szCs w:val="20"/>
          <w:lang w:val="en-GB"/>
        </w:rPr>
      </w:pPr>
      <w:r w:rsidRPr="00751136">
        <w:rPr>
          <w:b/>
          <w:bCs/>
          <w:color w:val="auto"/>
          <w:szCs w:val="20"/>
          <w:lang w:val="en-GB"/>
        </w:rPr>
        <w:t>Property Management fees</w:t>
      </w:r>
    </w:p>
    <w:p w14:paraId="5FFEDE6E" w14:textId="77777777" w:rsidR="00930A0C" w:rsidRPr="00751136" w:rsidRDefault="00930A0C" w:rsidP="0003043C">
      <w:pPr>
        <w:pStyle w:val="BodyTextIndent"/>
        <w:ind w:left="0"/>
        <w:rPr>
          <w:color w:val="auto"/>
          <w:szCs w:val="20"/>
          <w:cs/>
          <w:lang w:val="en-GB"/>
        </w:rPr>
      </w:pPr>
    </w:p>
    <w:p w14:paraId="54ED8105" w14:textId="00CF6EE7" w:rsidR="00BE7AA3" w:rsidRPr="00751136" w:rsidRDefault="00930A0C" w:rsidP="0003043C">
      <w:pPr>
        <w:pStyle w:val="BodyTextIndent"/>
        <w:ind w:left="0"/>
        <w:rPr>
          <w:color w:val="auto"/>
          <w:szCs w:val="20"/>
          <w:lang w:val="en-GB"/>
        </w:rPr>
      </w:pPr>
      <w:r w:rsidRPr="00751136">
        <w:rPr>
          <w:color w:val="auto"/>
          <w:szCs w:val="20"/>
          <w:lang w:val="en-GB"/>
        </w:rPr>
        <w:t xml:space="preserve">Fees and expenses of the Property Manager shall be payable to the Property Manager </w:t>
      </w:r>
      <w:proofErr w:type="gramStart"/>
      <w:r w:rsidRPr="00751136">
        <w:rPr>
          <w:color w:val="auto"/>
          <w:szCs w:val="20"/>
          <w:lang w:val="en-GB"/>
        </w:rPr>
        <w:t>on a monthly</w:t>
      </w:r>
      <w:r w:rsidR="00B705CB" w:rsidRPr="00751136">
        <w:rPr>
          <w:color w:val="auto"/>
          <w:szCs w:val="20"/>
          <w:lang w:val="en-GB"/>
        </w:rPr>
        <w:t xml:space="preserve"> </w:t>
      </w:r>
      <w:r w:rsidRPr="00751136">
        <w:rPr>
          <w:color w:val="auto"/>
          <w:spacing w:val="-2"/>
          <w:szCs w:val="20"/>
          <w:lang w:val="en-GB"/>
        </w:rPr>
        <w:t>basis</w:t>
      </w:r>
      <w:proofErr w:type="gramEnd"/>
      <w:r w:rsidRPr="00751136">
        <w:rPr>
          <w:color w:val="auto"/>
          <w:spacing w:val="-2"/>
          <w:szCs w:val="20"/>
          <w:lang w:val="en-GB"/>
        </w:rPr>
        <w:t xml:space="preserve"> according to the Property Management Agreement between the </w:t>
      </w:r>
      <w:r w:rsidR="00F20ACE" w:rsidRPr="00751136">
        <w:rPr>
          <w:color w:val="auto"/>
          <w:spacing w:val="-2"/>
          <w:szCs w:val="20"/>
          <w:lang w:val="en-GB"/>
        </w:rPr>
        <w:t>Trust</w:t>
      </w:r>
      <w:r w:rsidR="00333281" w:rsidRPr="00751136">
        <w:rPr>
          <w:color w:val="auto"/>
          <w:spacing w:val="-2"/>
          <w:szCs w:val="20"/>
          <w:lang w:val="en-GB"/>
        </w:rPr>
        <w:t xml:space="preserve"> and the Property Manager.</w:t>
      </w:r>
      <w:r w:rsidR="00333281" w:rsidRPr="00751136">
        <w:rPr>
          <w:color w:val="auto"/>
          <w:szCs w:val="20"/>
          <w:lang w:val="en-GB"/>
        </w:rPr>
        <w:t xml:space="preserve"> </w:t>
      </w:r>
      <w:r w:rsidRPr="00751136">
        <w:rPr>
          <w:color w:val="auto"/>
          <w:szCs w:val="20"/>
          <w:lang w:val="en-GB"/>
        </w:rPr>
        <w:t>The details can be summari</w:t>
      </w:r>
      <w:r w:rsidR="00ED0CC6" w:rsidRPr="00751136">
        <w:rPr>
          <w:color w:val="auto"/>
          <w:szCs w:val="20"/>
          <w:lang w:val="en-GB"/>
        </w:rPr>
        <w:t>s</w:t>
      </w:r>
      <w:r w:rsidRPr="00751136">
        <w:rPr>
          <w:color w:val="auto"/>
          <w:szCs w:val="20"/>
          <w:lang w:val="en-GB"/>
        </w:rPr>
        <w:t>ed as follows:</w:t>
      </w:r>
    </w:p>
    <w:p w14:paraId="3C9D3902" w14:textId="77777777" w:rsidR="00BE7AA3" w:rsidRPr="00751136" w:rsidRDefault="00BE7AA3" w:rsidP="0003043C">
      <w:pPr>
        <w:pStyle w:val="BodyTextIndent"/>
        <w:tabs>
          <w:tab w:val="right" w:pos="9360"/>
        </w:tabs>
        <w:ind w:left="540" w:hanging="540"/>
        <w:rPr>
          <w:color w:val="auto"/>
          <w:szCs w:val="20"/>
          <w:lang w:val="en-GB"/>
        </w:rPr>
      </w:pPr>
    </w:p>
    <w:p w14:paraId="22E73492" w14:textId="00A279BF" w:rsidR="00930A0C" w:rsidRPr="00751136" w:rsidRDefault="001659E8" w:rsidP="0003043C">
      <w:pPr>
        <w:pStyle w:val="BodyTextIndent"/>
        <w:tabs>
          <w:tab w:val="right" w:pos="9360"/>
        </w:tabs>
        <w:ind w:left="540" w:hanging="540"/>
        <w:rPr>
          <w:color w:val="auto"/>
          <w:szCs w:val="20"/>
        </w:rPr>
      </w:pPr>
      <w:r w:rsidRPr="00751136">
        <w:rPr>
          <w:color w:val="auto"/>
          <w:szCs w:val="20"/>
          <w:lang w:val="en-GB"/>
        </w:rPr>
        <w:t>1</w:t>
      </w:r>
      <w:r w:rsidR="00125262" w:rsidRPr="00751136">
        <w:rPr>
          <w:color w:val="auto"/>
          <w:szCs w:val="20"/>
        </w:rPr>
        <w:t>)</w:t>
      </w:r>
      <w:r w:rsidR="00125262" w:rsidRPr="00751136">
        <w:rPr>
          <w:color w:val="auto"/>
          <w:szCs w:val="20"/>
          <w:cs/>
        </w:rPr>
        <w:tab/>
      </w:r>
      <w:r w:rsidR="00930A0C" w:rsidRPr="00751136">
        <w:rPr>
          <w:color w:val="auto"/>
          <w:szCs w:val="20"/>
        </w:rPr>
        <w:t xml:space="preserve">Fee for rental </w:t>
      </w:r>
      <w:r w:rsidR="003F6F09" w:rsidRPr="00751136">
        <w:rPr>
          <w:color w:val="auto"/>
          <w:szCs w:val="20"/>
        </w:rPr>
        <w:t xml:space="preserve">and service </w:t>
      </w:r>
      <w:r w:rsidR="00930A0C" w:rsidRPr="00751136">
        <w:rPr>
          <w:color w:val="auto"/>
          <w:szCs w:val="20"/>
        </w:rPr>
        <w:t xml:space="preserve">collection on behalf of the </w:t>
      </w:r>
      <w:r w:rsidR="00F20ACE" w:rsidRPr="00751136">
        <w:rPr>
          <w:color w:val="auto"/>
          <w:szCs w:val="20"/>
        </w:rPr>
        <w:t>Trust</w:t>
      </w:r>
      <w:r w:rsidR="00930A0C" w:rsidRPr="00751136">
        <w:rPr>
          <w:color w:val="auto"/>
          <w:szCs w:val="20"/>
        </w:rPr>
        <w:t xml:space="preserve"> at the rate not exceeding </w:t>
      </w:r>
      <w:r w:rsidRPr="00751136">
        <w:rPr>
          <w:color w:val="auto"/>
          <w:szCs w:val="20"/>
          <w:lang w:val="en-GB"/>
        </w:rPr>
        <w:t>3</w:t>
      </w:r>
      <w:r w:rsidR="00930A0C" w:rsidRPr="00751136">
        <w:rPr>
          <w:color w:val="auto"/>
          <w:szCs w:val="20"/>
        </w:rPr>
        <w:t xml:space="preserve">% of </w:t>
      </w:r>
      <w:r w:rsidR="00ED0CC6" w:rsidRPr="00751136">
        <w:rPr>
          <w:color w:val="auto"/>
          <w:szCs w:val="20"/>
        </w:rPr>
        <w:t>n</w:t>
      </w:r>
      <w:r w:rsidR="00930A0C" w:rsidRPr="00751136">
        <w:rPr>
          <w:color w:val="auto"/>
          <w:szCs w:val="20"/>
        </w:rPr>
        <w:t xml:space="preserve">et </w:t>
      </w:r>
      <w:r w:rsidR="00ED0CC6" w:rsidRPr="00751136">
        <w:rPr>
          <w:color w:val="auto"/>
          <w:szCs w:val="20"/>
        </w:rPr>
        <w:t>rental income</w:t>
      </w:r>
      <w:r w:rsidR="004931B9" w:rsidRPr="00751136">
        <w:rPr>
          <w:color w:val="auto"/>
          <w:szCs w:val="20"/>
        </w:rPr>
        <w:t>.</w:t>
      </w:r>
    </w:p>
    <w:p w14:paraId="586BD620" w14:textId="77777777" w:rsidR="00BE7AA3" w:rsidRPr="00751136" w:rsidRDefault="00BE7AA3" w:rsidP="0003043C">
      <w:pPr>
        <w:pStyle w:val="BodyTextIndent"/>
        <w:ind w:left="540" w:hanging="540"/>
        <w:rPr>
          <w:color w:val="auto"/>
          <w:szCs w:val="20"/>
          <w:lang w:val="en-GB"/>
        </w:rPr>
      </w:pPr>
    </w:p>
    <w:p w14:paraId="019F0312" w14:textId="494BDFC4" w:rsidR="00930A0C" w:rsidRPr="00751136" w:rsidRDefault="001659E8" w:rsidP="0003043C">
      <w:pPr>
        <w:pStyle w:val="BodyTextIndent"/>
        <w:tabs>
          <w:tab w:val="right" w:pos="9360"/>
        </w:tabs>
        <w:ind w:left="540" w:hanging="540"/>
        <w:rPr>
          <w:color w:val="auto"/>
          <w:szCs w:val="20"/>
        </w:rPr>
      </w:pPr>
      <w:r w:rsidRPr="00751136">
        <w:rPr>
          <w:color w:val="auto"/>
          <w:szCs w:val="20"/>
          <w:lang w:val="en-GB"/>
        </w:rPr>
        <w:t>2</w:t>
      </w:r>
      <w:r w:rsidR="00125262" w:rsidRPr="00751136">
        <w:rPr>
          <w:color w:val="auto"/>
          <w:szCs w:val="20"/>
        </w:rPr>
        <w:t>)</w:t>
      </w:r>
      <w:r w:rsidR="00125262" w:rsidRPr="00751136">
        <w:rPr>
          <w:color w:val="auto"/>
          <w:szCs w:val="20"/>
          <w:cs/>
        </w:rPr>
        <w:tab/>
      </w:r>
      <w:r w:rsidR="00930A0C" w:rsidRPr="00751136">
        <w:rPr>
          <w:color w:val="auto"/>
          <w:szCs w:val="20"/>
        </w:rPr>
        <w:t xml:space="preserve">Leasing Commission for procuring tenants and management of all tenants of the </w:t>
      </w:r>
      <w:r w:rsidR="00F20ACE" w:rsidRPr="00751136">
        <w:rPr>
          <w:color w:val="auto"/>
          <w:szCs w:val="20"/>
        </w:rPr>
        <w:t>Trust</w:t>
      </w:r>
      <w:r w:rsidR="00930A0C" w:rsidRPr="00751136">
        <w:rPr>
          <w:color w:val="auto"/>
          <w:szCs w:val="20"/>
        </w:rPr>
        <w:t xml:space="preserve"> upon entering into new lease agreements with new tenants or renewal of lease agreements is calculated at the rate of </w:t>
      </w:r>
      <w:r w:rsidRPr="00751136">
        <w:rPr>
          <w:color w:val="auto"/>
          <w:szCs w:val="20"/>
          <w:lang w:val="en-GB"/>
        </w:rPr>
        <w:t>0</w:t>
      </w:r>
      <w:r w:rsidR="00930A0C" w:rsidRPr="00751136">
        <w:rPr>
          <w:color w:val="auto"/>
          <w:szCs w:val="20"/>
        </w:rPr>
        <w:t>.</w:t>
      </w:r>
      <w:r w:rsidRPr="00751136">
        <w:rPr>
          <w:color w:val="auto"/>
          <w:szCs w:val="20"/>
          <w:lang w:val="en-GB"/>
        </w:rPr>
        <w:t>5</w:t>
      </w:r>
      <w:r w:rsidR="00930A0C" w:rsidRPr="00751136">
        <w:rPr>
          <w:color w:val="auto"/>
          <w:szCs w:val="20"/>
        </w:rPr>
        <w:t xml:space="preserve"> - </w:t>
      </w:r>
      <w:r w:rsidRPr="00751136">
        <w:rPr>
          <w:color w:val="auto"/>
          <w:szCs w:val="20"/>
          <w:lang w:val="en-GB"/>
        </w:rPr>
        <w:t>1</w:t>
      </w:r>
      <w:r w:rsidR="00930A0C" w:rsidRPr="00751136">
        <w:rPr>
          <w:color w:val="auto"/>
          <w:szCs w:val="20"/>
        </w:rPr>
        <w:t>.</w:t>
      </w:r>
      <w:r w:rsidRPr="00751136">
        <w:rPr>
          <w:color w:val="auto"/>
          <w:szCs w:val="20"/>
          <w:lang w:val="en-GB"/>
        </w:rPr>
        <w:t>5</w:t>
      </w:r>
      <w:r w:rsidR="00930A0C" w:rsidRPr="00751136">
        <w:rPr>
          <w:color w:val="auto"/>
          <w:szCs w:val="20"/>
        </w:rPr>
        <w:t xml:space="preserve"> times of the monthly rental fees </w:t>
      </w:r>
      <w:r w:rsidR="00E402A6" w:rsidRPr="00751136">
        <w:rPr>
          <w:color w:val="auto"/>
          <w:szCs w:val="20"/>
        </w:rPr>
        <w:t xml:space="preserve">and </w:t>
      </w:r>
      <w:r w:rsidRPr="00751136">
        <w:rPr>
          <w:color w:val="auto"/>
          <w:szCs w:val="20"/>
          <w:lang w:val="en-GB"/>
        </w:rPr>
        <w:t>4</w:t>
      </w:r>
      <w:r w:rsidR="00E402A6" w:rsidRPr="00751136">
        <w:rPr>
          <w:color w:val="auto"/>
          <w:szCs w:val="20"/>
        </w:rPr>
        <w:t xml:space="preserve">% of the daily rental fees </w:t>
      </w:r>
      <w:r w:rsidR="00930A0C" w:rsidRPr="00751136">
        <w:rPr>
          <w:color w:val="auto"/>
          <w:szCs w:val="20"/>
        </w:rPr>
        <w:t>depending on the type and period (terms) of lease agreements.</w:t>
      </w:r>
    </w:p>
    <w:p w14:paraId="4C458927" w14:textId="77777777" w:rsidR="00930A0C" w:rsidRPr="00751136" w:rsidRDefault="00930A0C" w:rsidP="0003043C">
      <w:pPr>
        <w:pStyle w:val="BodyTextIndent"/>
        <w:ind w:left="540" w:hanging="540"/>
        <w:rPr>
          <w:color w:val="auto"/>
          <w:szCs w:val="20"/>
          <w:lang w:val="en-GB"/>
        </w:rPr>
      </w:pPr>
    </w:p>
    <w:p w14:paraId="22AB7F2D" w14:textId="3DAE3791" w:rsidR="00930A0C" w:rsidRPr="00751136" w:rsidRDefault="001659E8" w:rsidP="0003043C">
      <w:pPr>
        <w:pStyle w:val="BodyTextIndent"/>
        <w:tabs>
          <w:tab w:val="right" w:pos="9360"/>
        </w:tabs>
        <w:ind w:left="540" w:hanging="540"/>
        <w:rPr>
          <w:color w:val="auto"/>
          <w:szCs w:val="20"/>
        </w:rPr>
      </w:pPr>
      <w:r w:rsidRPr="00751136">
        <w:rPr>
          <w:color w:val="auto"/>
          <w:szCs w:val="20"/>
          <w:lang w:val="en-GB"/>
        </w:rPr>
        <w:t>3</w:t>
      </w:r>
      <w:r w:rsidR="00125262" w:rsidRPr="00751136">
        <w:rPr>
          <w:color w:val="auto"/>
          <w:szCs w:val="20"/>
        </w:rPr>
        <w:t>)</w:t>
      </w:r>
      <w:r w:rsidR="00125262" w:rsidRPr="00751136">
        <w:rPr>
          <w:color w:val="auto"/>
          <w:szCs w:val="20"/>
        </w:rPr>
        <w:tab/>
      </w:r>
      <w:r w:rsidR="00930A0C" w:rsidRPr="00751136">
        <w:rPr>
          <w:color w:val="auto"/>
          <w:szCs w:val="20"/>
        </w:rPr>
        <w:t xml:space="preserve">Property Management fee is calculated at the rate not exceeding </w:t>
      </w:r>
      <w:r w:rsidRPr="00751136">
        <w:rPr>
          <w:color w:val="auto"/>
          <w:szCs w:val="20"/>
          <w:lang w:val="en-GB"/>
        </w:rPr>
        <w:t>0</w:t>
      </w:r>
      <w:r w:rsidR="00930A0C" w:rsidRPr="00751136">
        <w:rPr>
          <w:color w:val="auto"/>
          <w:szCs w:val="20"/>
        </w:rPr>
        <w:t>.</w:t>
      </w:r>
      <w:r w:rsidR="00F20ACE" w:rsidRPr="00751136">
        <w:rPr>
          <w:color w:val="auto"/>
          <w:szCs w:val="20"/>
          <w:lang w:val="en-GB"/>
        </w:rPr>
        <w:t>30</w:t>
      </w:r>
      <w:r w:rsidR="00930A0C" w:rsidRPr="00751136">
        <w:rPr>
          <w:color w:val="auto"/>
          <w:szCs w:val="20"/>
        </w:rPr>
        <w:t xml:space="preserve">% of </w:t>
      </w:r>
      <w:r w:rsidR="00ED0CC6" w:rsidRPr="00751136">
        <w:rPr>
          <w:color w:val="auto"/>
          <w:szCs w:val="20"/>
        </w:rPr>
        <w:t xml:space="preserve">net asset value </w:t>
      </w:r>
      <w:r w:rsidR="00930A0C" w:rsidRPr="00751136">
        <w:rPr>
          <w:color w:val="auto"/>
          <w:szCs w:val="20"/>
        </w:rPr>
        <w:t xml:space="preserve">of the </w:t>
      </w:r>
      <w:r w:rsidR="00F20ACE" w:rsidRPr="00751136">
        <w:rPr>
          <w:color w:val="auto"/>
          <w:szCs w:val="20"/>
        </w:rPr>
        <w:t>Trust</w:t>
      </w:r>
      <w:r w:rsidR="00930A0C" w:rsidRPr="00751136">
        <w:rPr>
          <w:color w:val="auto"/>
          <w:szCs w:val="20"/>
        </w:rPr>
        <w:t xml:space="preserve"> calculated as at the last business day of </w:t>
      </w:r>
      <w:r w:rsidR="00600E53" w:rsidRPr="00751136">
        <w:rPr>
          <w:color w:val="auto"/>
          <w:szCs w:val="20"/>
        </w:rPr>
        <w:t xml:space="preserve">previous </w:t>
      </w:r>
      <w:r w:rsidR="00930A0C" w:rsidRPr="00751136">
        <w:rPr>
          <w:color w:val="auto"/>
          <w:szCs w:val="20"/>
        </w:rPr>
        <w:t>month.</w:t>
      </w:r>
    </w:p>
    <w:p w14:paraId="283AB6C5" w14:textId="77777777" w:rsidR="00930A0C" w:rsidRPr="00751136" w:rsidRDefault="00930A0C" w:rsidP="0003043C">
      <w:pPr>
        <w:pStyle w:val="BodyTextIndent"/>
        <w:ind w:left="540" w:hanging="540"/>
        <w:rPr>
          <w:color w:val="auto"/>
          <w:szCs w:val="20"/>
          <w:lang w:val="en-GB"/>
        </w:rPr>
      </w:pPr>
    </w:p>
    <w:p w14:paraId="6F8259BD" w14:textId="3B6819E6" w:rsidR="00233FB6" w:rsidRPr="00751136" w:rsidRDefault="001659E8" w:rsidP="0003043C">
      <w:pPr>
        <w:pStyle w:val="BodyTextIndent"/>
        <w:tabs>
          <w:tab w:val="right" w:pos="9360"/>
        </w:tabs>
        <w:ind w:left="540" w:hanging="540"/>
        <w:rPr>
          <w:color w:val="auto"/>
          <w:szCs w:val="20"/>
        </w:rPr>
      </w:pPr>
      <w:r w:rsidRPr="00751136">
        <w:rPr>
          <w:color w:val="auto"/>
          <w:szCs w:val="20"/>
          <w:lang w:val="en-GB"/>
        </w:rPr>
        <w:t>4</w:t>
      </w:r>
      <w:r w:rsidR="00125262" w:rsidRPr="00751136">
        <w:rPr>
          <w:color w:val="auto"/>
          <w:szCs w:val="20"/>
        </w:rPr>
        <w:t>)</w:t>
      </w:r>
      <w:r w:rsidR="00125262" w:rsidRPr="00751136">
        <w:rPr>
          <w:color w:val="auto"/>
          <w:szCs w:val="20"/>
        </w:rPr>
        <w:tab/>
      </w:r>
      <w:r w:rsidR="00930A0C" w:rsidRPr="00751136">
        <w:rPr>
          <w:color w:val="auto"/>
          <w:szCs w:val="20"/>
        </w:rPr>
        <w:t xml:space="preserve">Incentive fee for the Property Manager is calculated at the rate of not exceeding </w:t>
      </w:r>
      <w:r w:rsidRPr="00751136">
        <w:rPr>
          <w:color w:val="auto"/>
          <w:szCs w:val="20"/>
          <w:lang w:val="en-GB"/>
        </w:rPr>
        <w:t>2</w:t>
      </w:r>
      <w:r w:rsidR="00930A0C" w:rsidRPr="00751136">
        <w:rPr>
          <w:color w:val="auto"/>
          <w:szCs w:val="20"/>
        </w:rPr>
        <w:t>.</w:t>
      </w:r>
      <w:r w:rsidRPr="00751136">
        <w:rPr>
          <w:color w:val="auto"/>
          <w:szCs w:val="20"/>
          <w:lang w:val="en-GB"/>
        </w:rPr>
        <w:t>35</w:t>
      </w:r>
      <w:r w:rsidR="00930A0C" w:rsidRPr="00751136">
        <w:rPr>
          <w:color w:val="auto"/>
          <w:szCs w:val="20"/>
        </w:rPr>
        <w:t xml:space="preserve">% of </w:t>
      </w:r>
      <w:r w:rsidR="00ED0CC6" w:rsidRPr="00751136">
        <w:rPr>
          <w:color w:val="auto"/>
          <w:szCs w:val="20"/>
        </w:rPr>
        <w:t>net property income</w:t>
      </w:r>
      <w:r w:rsidR="00930A0C" w:rsidRPr="00751136">
        <w:rPr>
          <w:color w:val="auto"/>
          <w:szCs w:val="20"/>
        </w:rPr>
        <w:t xml:space="preserve">. Net </w:t>
      </w:r>
      <w:r w:rsidR="00ED0CC6" w:rsidRPr="00751136">
        <w:rPr>
          <w:color w:val="auto"/>
          <w:szCs w:val="20"/>
        </w:rPr>
        <w:t>p</w:t>
      </w:r>
      <w:r w:rsidR="00930A0C" w:rsidRPr="00751136">
        <w:rPr>
          <w:color w:val="auto"/>
          <w:szCs w:val="20"/>
        </w:rPr>
        <w:t xml:space="preserve">roperty </w:t>
      </w:r>
      <w:r w:rsidR="00ED0CC6" w:rsidRPr="00751136">
        <w:rPr>
          <w:color w:val="auto"/>
          <w:szCs w:val="20"/>
        </w:rPr>
        <w:t>i</w:t>
      </w:r>
      <w:r w:rsidR="00930A0C" w:rsidRPr="00751136">
        <w:rPr>
          <w:color w:val="auto"/>
          <w:szCs w:val="20"/>
        </w:rPr>
        <w:t>ncome means net revenue from property deducted by property costs and expenses from procuring benefits from the properties.</w:t>
      </w:r>
    </w:p>
    <w:p w14:paraId="370808A5" w14:textId="77777777" w:rsidR="002C759A" w:rsidRPr="00751136" w:rsidRDefault="002C759A" w:rsidP="0003043C">
      <w:pPr>
        <w:pStyle w:val="BodyTextIndent"/>
        <w:tabs>
          <w:tab w:val="right" w:pos="9360"/>
        </w:tabs>
        <w:ind w:left="540" w:hanging="540"/>
        <w:rPr>
          <w:color w:val="auto"/>
          <w:sz w:val="14"/>
          <w:szCs w:val="14"/>
        </w:rPr>
      </w:pPr>
    </w:p>
    <w:p w14:paraId="1947382A" w14:textId="68AC75E4" w:rsidR="00930A0C" w:rsidRPr="00751136" w:rsidRDefault="00722BB0" w:rsidP="0003043C">
      <w:pPr>
        <w:pStyle w:val="BodyTextIndent"/>
        <w:ind w:left="540" w:hanging="540"/>
        <w:rPr>
          <w:b/>
          <w:bCs/>
          <w:color w:val="auto"/>
          <w:szCs w:val="20"/>
        </w:rPr>
      </w:pPr>
      <w:r w:rsidRPr="00751136">
        <w:rPr>
          <w:color w:val="auto"/>
          <w:szCs w:val="20"/>
        </w:rPr>
        <w:br w:type="page"/>
      </w:r>
      <w:r w:rsidR="002324FE" w:rsidRPr="00751136">
        <w:rPr>
          <w:b/>
          <w:bCs/>
          <w:color w:val="auto"/>
          <w:szCs w:val="20"/>
        </w:rPr>
        <w:lastRenderedPageBreak/>
        <w:t>12</w:t>
      </w:r>
      <w:r w:rsidR="0048767A" w:rsidRPr="00751136">
        <w:rPr>
          <w:b/>
          <w:bCs/>
          <w:color w:val="auto"/>
          <w:szCs w:val="20"/>
        </w:rPr>
        <w:tab/>
      </w:r>
      <w:r w:rsidR="00930A0C" w:rsidRPr="00751136">
        <w:rPr>
          <w:b/>
          <w:bCs/>
          <w:color w:val="auto"/>
          <w:szCs w:val="20"/>
        </w:rPr>
        <w:t>Related party transactions</w:t>
      </w:r>
    </w:p>
    <w:p w14:paraId="6BC0A483" w14:textId="77777777" w:rsidR="00107B6E" w:rsidRPr="00751136" w:rsidRDefault="00107B6E" w:rsidP="0003043C">
      <w:pPr>
        <w:pStyle w:val="BodyTextIndent"/>
        <w:ind w:left="0"/>
        <w:rPr>
          <w:color w:val="auto"/>
          <w:szCs w:val="20"/>
          <w:lang w:val="en-GB"/>
        </w:rPr>
      </w:pPr>
    </w:p>
    <w:p w14:paraId="5DA9C89F" w14:textId="18D71BE7" w:rsidR="00D0298C" w:rsidRPr="00751136" w:rsidRDefault="00D0298C" w:rsidP="0003043C">
      <w:pPr>
        <w:pStyle w:val="BodyTextIndent"/>
        <w:ind w:left="0"/>
        <w:rPr>
          <w:rFonts w:eastAsia="Times New Roman"/>
          <w:color w:val="auto"/>
          <w:szCs w:val="20"/>
        </w:rPr>
      </w:pPr>
      <w:r w:rsidRPr="00751136">
        <w:rPr>
          <w:rFonts w:eastAsia="Times New Roman"/>
          <w:color w:val="auto"/>
          <w:szCs w:val="20"/>
        </w:rPr>
        <w:t xml:space="preserve">Other related parties which have material changes in relationships and that the Trust had significant transactions during the </w:t>
      </w:r>
      <w:r w:rsidR="00952DD5" w:rsidRPr="00751136">
        <w:rPr>
          <w:rFonts w:eastAsia="Times New Roman"/>
          <w:color w:val="auto"/>
          <w:szCs w:val="20"/>
        </w:rPr>
        <w:t>year</w:t>
      </w:r>
      <w:r w:rsidRPr="00751136">
        <w:rPr>
          <w:rFonts w:eastAsia="Times New Roman"/>
          <w:color w:val="auto"/>
          <w:szCs w:val="20"/>
        </w:rPr>
        <w:t xml:space="preserve"> with were as follows:</w:t>
      </w:r>
    </w:p>
    <w:p w14:paraId="0895B305" w14:textId="77777777" w:rsidR="00D0298C" w:rsidRPr="00751136" w:rsidRDefault="00D0298C" w:rsidP="0003043C">
      <w:pPr>
        <w:pStyle w:val="BodyTextIndent"/>
        <w:ind w:left="0"/>
        <w:rPr>
          <w:color w:val="auto"/>
          <w:szCs w:val="20"/>
          <w:lang w:val="en-GB"/>
        </w:rPr>
      </w:pPr>
    </w:p>
    <w:tbl>
      <w:tblPr>
        <w:tblW w:w="4886" w:type="pct"/>
        <w:tblInd w:w="108" w:type="dxa"/>
        <w:tblLayout w:type="fixed"/>
        <w:tblLook w:val="0000" w:firstRow="0" w:lastRow="0" w:firstColumn="0" w:lastColumn="0" w:noHBand="0" w:noVBand="0"/>
      </w:tblPr>
      <w:tblGrid>
        <w:gridCol w:w="6481"/>
        <w:gridCol w:w="2550"/>
      </w:tblGrid>
      <w:tr w:rsidR="00D0298C" w:rsidRPr="00751136" w14:paraId="36601E7F" w14:textId="77777777" w:rsidTr="002C759A">
        <w:tc>
          <w:tcPr>
            <w:tcW w:w="3588" w:type="pct"/>
            <w:vAlign w:val="bottom"/>
          </w:tcPr>
          <w:p w14:paraId="3773E1A5" w14:textId="319510BF" w:rsidR="00D0298C" w:rsidRPr="00751136" w:rsidRDefault="00D0298C" w:rsidP="0003043C">
            <w:pPr>
              <w:pStyle w:val="BodyTextIndent"/>
              <w:ind w:left="-101"/>
              <w:jc w:val="left"/>
              <w:rPr>
                <w:b/>
                <w:bCs/>
                <w:color w:val="auto"/>
                <w:szCs w:val="20"/>
                <w:lang w:val="en-GB"/>
              </w:rPr>
            </w:pPr>
            <w:r w:rsidRPr="00751136">
              <w:rPr>
                <w:b/>
                <w:bCs/>
                <w:color w:val="auto"/>
                <w:szCs w:val="20"/>
                <w:lang w:val="en-GB"/>
              </w:rPr>
              <w:t>Name of parties</w:t>
            </w:r>
          </w:p>
        </w:tc>
        <w:tc>
          <w:tcPr>
            <w:tcW w:w="1412" w:type="pct"/>
            <w:tcBorders>
              <w:bottom w:val="single" w:sz="4" w:space="0" w:color="auto"/>
            </w:tcBorders>
          </w:tcPr>
          <w:p w14:paraId="0179BD4F" w14:textId="34883027" w:rsidR="00D0298C" w:rsidRPr="00751136" w:rsidRDefault="00D0298C" w:rsidP="0003043C">
            <w:pPr>
              <w:pStyle w:val="BodyTextIndent"/>
              <w:tabs>
                <w:tab w:val="decimal" w:pos="1325"/>
              </w:tabs>
              <w:ind w:left="0" w:right="-72"/>
              <w:jc w:val="right"/>
              <w:rPr>
                <w:b/>
                <w:bCs/>
                <w:color w:val="auto"/>
                <w:szCs w:val="20"/>
              </w:rPr>
            </w:pPr>
            <w:r w:rsidRPr="00751136">
              <w:rPr>
                <w:b/>
                <w:bCs/>
                <w:color w:val="auto"/>
                <w:szCs w:val="20"/>
              </w:rPr>
              <w:t>Nature of relationships</w:t>
            </w:r>
          </w:p>
        </w:tc>
      </w:tr>
      <w:tr w:rsidR="00722BB0" w:rsidRPr="00751136" w14:paraId="7BE628D9" w14:textId="77777777" w:rsidTr="00722BB0">
        <w:tc>
          <w:tcPr>
            <w:tcW w:w="3588" w:type="pct"/>
            <w:vAlign w:val="bottom"/>
          </w:tcPr>
          <w:p w14:paraId="1F5628F9" w14:textId="77777777" w:rsidR="00722BB0" w:rsidRPr="00751136" w:rsidRDefault="00722BB0" w:rsidP="0003043C">
            <w:pPr>
              <w:pStyle w:val="BodyTextIndent"/>
              <w:ind w:left="-101"/>
              <w:jc w:val="left"/>
              <w:rPr>
                <w:color w:val="auto"/>
                <w:szCs w:val="20"/>
              </w:rPr>
            </w:pPr>
          </w:p>
        </w:tc>
        <w:tc>
          <w:tcPr>
            <w:tcW w:w="1412" w:type="pct"/>
            <w:tcBorders>
              <w:top w:val="single" w:sz="4" w:space="0" w:color="auto"/>
            </w:tcBorders>
          </w:tcPr>
          <w:p w14:paraId="476EACC0" w14:textId="77777777" w:rsidR="00722BB0" w:rsidRPr="00751136" w:rsidRDefault="00722BB0" w:rsidP="0003043C">
            <w:pPr>
              <w:pStyle w:val="BodyTextIndent"/>
              <w:tabs>
                <w:tab w:val="decimal" w:pos="1325"/>
              </w:tabs>
              <w:ind w:left="0" w:right="-72"/>
              <w:jc w:val="right"/>
              <w:rPr>
                <w:color w:val="auto"/>
                <w:szCs w:val="20"/>
              </w:rPr>
            </w:pPr>
          </w:p>
        </w:tc>
      </w:tr>
      <w:tr w:rsidR="00D0298C" w:rsidRPr="00751136" w14:paraId="304248DE" w14:textId="77777777" w:rsidTr="00722BB0">
        <w:tc>
          <w:tcPr>
            <w:tcW w:w="3588" w:type="pct"/>
            <w:vAlign w:val="bottom"/>
          </w:tcPr>
          <w:p w14:paraId="207EBAB8" w14:textId="1FF7FBCC" w:rsidR="00D0298C" w:rsidRPr="00751136" w:rsidRDefault="00D0298C" w:rsidP="0003043C">
            <w:pPr>
              <w:pStyle w:val="BodyTextIndent"/>
              <w:ind w:left="-101"/>
              <w:jc w:val="left"/>
              <w:rPr>
                <w:color w:val="auto"/>
                <w:szCs w:val="20"/>
              </w:rPr>
            </w:pPr>
            <w:proofErr w:type="spellStart"/>
            <w:r w:rsidRPr="00751136">
              <w:rPr>
                <w:color w:val="auto"/>
                <w:szCs w:val="20"/>
              </w:rPr>
              <w:t>Rangsit</w:t>
            </w:r>
            <w:proofErr w:type="spellEnd"/>
            <w:r w:rsidRPr="00751136">
              <w:rPr>
                <w:color w:val="auto"/>
                <w:szCs w:val="20"/>
              </w:rPr>
              <w:t xml:space="preserve"> Plaza Company Limited</w:t>
            </w:r>
          </w:p>
        </w:tc>
        <w:tc>
          <w:tcPr>
            <w:tcW w:w="1412" w:type="pct"/>
          </w:tcPr>
          <w:p w14:paraId="4B91B7BA" w14:textId="723FEA82" w:rsidR="00D0298C" w:rsidRPr="00751136" w:rsidRDefault="00D0298C" w:rsidP="0003043C">
            <w:pPr>
              <w:pStyle w:val="BodyTextIndent"/>
              <w:tabs>
                <w:tab w:val="decimal" w:pos="1325"/>
              </w:tabs>
              <w:ind w:left="0" w:right="-72"/>
              <w:jc w:val="right"/>
              <w:rPr>
                <w:color w:val="auto"/>
                <w:szCs w:val="20"/>
              </w:rPr>
            </w:pPr>
            <w:r w:rsidRPr="00751136">
              <w:rPr>
                <w:color w:val="auto"/>
                <w:szCs w:val="20"/>
              </w:rPr>
              <w:t>Property manager and</w:t>
            </w:r>
          </w:p>
        </w:tc>
      </w:tr>
      <w:tr w:rsidR="00D0298C" w:rsidRPr="00751136" w14:paraId="50AB2B77" w14:textId="77777777" w:rsidTr="002C759A">
        <w:tc>
          <w:tcPr>
            <w:tcW w:w="3588" w:type="pct"/>
          </w:tcPr>
          <w:p w14:paraId="20760DC1" w14:textId="77777777" w:rsidR="00D0298C" w:rsidRPr="00751136" w:rsidRDefault="00D0298C" w:rsidP="0003043C">
            <w:pPr>
              <w:pStyle w:val="BodyTextIndent"/>
              <w:ind w:left="-101"/>
              <w:jc w:val="left"/>
              <w:rPr>
                <w:color w:val="auto"/>
                <w:spacing w:val="-4"/>
                <w:szCs w:val="20"/>
                <w:lang w:val="en-GB"/>
              </w:rPr>
            </w:pPr>
          </w:p>
        </w:tc>
        <w:tc>
          <w:tcPr>
            <w:tcW w:w="1412" w:type="pct"/>
            <w:vAlign w:val="center"/>
          </w:tcPr>
          <w:p w14:paraId="00EE4A75" w14:textId="5864FBBD" w:rsidR="00D0298C" w:rsidRPr="00751136" w:rsidRDefault="00D0298C" w:rsidP="0003043C">
            <w:pPr>
              <w:pStyle w:val="BodyTextIndent"/>
              <w:tabs>
                <w:tab w:val="decimal" w:pos="1325"/>
              </w:tabs>
              <w:ind w:left="0" w:right="-72"/>
              <w:jc w:val="right"/>
              <w:rPr>
                <w:color w:val="auto"/>
                <w:szCs w:val="20"/>
              </w:rPr>
            </w:pPr>
            <w:r w:rsidRPr="00751136">
              <w:rPr>
                <w:color w:val="auto"/>
                <w:szCs w:val="20"/>
              </w:rPr>
              <w:t>major unitholder</w:t>
            </w:r>
          </w:p>
        </w:tc>
      </w:tr>
      <w:tr w:rsidR="00D0298C" w:rsidRPr="00751136" w14:paraId="69DBA5C8" w14:textId="77777777" w:rsidTr="002C759A">
        <w:tc>
          <w:tcPr>
            <w:tcW w:w="3588" w:type="pct"/>
          </w:tcPr>
          <w:p w14:paraId="2A25CD06" w14:textId="77777777" w:rsidR="00D0298C" w:rsidRPr="00751136" w:rsidRDefault="00D0298C" w:rsidP="0003043C">
            <w:pPr>
              <w:pStyle w:val="BodyTextIndent"/>
              <w:ind w:left="-101"/>
              <w:jc w:val="left"/>
              <w:rPr>
                <w:color w:val="auto"/>
                <w:spacing w:val="-4"/>
                <w:szCs w:val="20"/>
                <w:lang w:val="en-GB"/>
              </w:rPr>
            </w:pPr>
          </w:p>
        </w:tc>
        <w:tc>
          <w:tcPr>
            <w:tcW w:w="1412" w:type="pct"/>
            <w:vAlign w:val="center"/>
          </w:tcPr>
          <w:p w14:paraId="073726E4" w14:textId="77777777" w:rsidR="00D0298C" w:rsidRPr="00751136" w:rsidRDefault="00D0298C" w:rsidP="0003043C">
            <w:pPr>
              <w:pStyle w:val="BodyTextIndent"/>
              <w:tabs>
                <w:tab w:val="decimal" w:pos="1325"/>
              </w:tabs>
              <w:ind w:left="0" w:right="-72"/>
              <w:jc w:val="right"/>
              <w:rPr>
                <w:color w:val="auto"/>
                <w:szCs w:val="20"/>
              </w:rPr>
            </w:pPr>
          </w:p>
        </w:tc>
      </w:tr>
      <w:tr w:rsidR="00D0298C" w:rsidRPr="00751136" w14:paraId="2B247D4F" w14:textId="77777777" w:rsidTr="002C759A">
        <w:tc>
          <w:tcPr>
            <w:tcW w:w="3588" w:type="pct"/>
          </w:tcPr>
          <w:p w14:paraId="51AF6094" w14:textId="77777777" w:rsidR="00D0298C" w:rsidRPr="00751136" w:rsidRDefault="00D0298C" w:rsidP="0003043C">
            <w:pPr>
              <w:pStyle w:val="BodyTextIndent"/>
              <w:ind w:left="-101"/>
              <w:jc w:val="left"/>
              <w:rPr>
                <w:color w:val="auto"/>
                <w:spacing w:val="-4"/>
                <w:szCs w:val="20"/>
                <w:lang w:val="en-GB"/>
              </w:rPr>
            </w:pPr>
            <w:proofErr w:type="spellStart"/>
            <w:r w:rsidRPr="00751136">
              <w:rPr>
                <w:color w:val="auto"/>
                <w:spacing w:val="-4"/>
                <w:szCs w:val="20"/>
                <w:lang w:val="en-GB"/>
              </w:rPr>
              <w:t>Krungthai</w:t>
            </w:r>
            <w:proofErr w:type="spellEnd"/>
            <w:r w:rsidRPr="00751136">
              <w:rPr>
                <w:color w:val="auto"/>
                <w:spacing w:val="-4"/>
                <w:szCs w:val="20"/>
                <w:lang w:val="en-GB"/>
              </w:rPr>
              <w:t xml:space="preserve"> Asset Management Public Company Limited</w:t>
            </w:r>
          </w:p>
        </w:tc>
        <w:tc>
          <w:tcPr>
            <w:tcW w:w="1412" w:type="pct"/>
            <w:vAlign w:val="center"/>
          </w:tcPr>
          <w:p w14:paraId="66321A36" w14:textId="5413A620" w:rsidR="00D0298C" w:rsidRPr="00751136" w:rsidRDefault="00D0298C" w:rsidP="0003043C">
            <w:pPr>
              <w:pStyle w:val="BodyTextIndent"/>
              <w:tabs>
                <w:tab w:val="decimal" w:pos="1325"/>
              </w:tabs>
              <w:ind w:left="0" w:right="-72"/>
              <w:jc w:val="right"/>
              <w:rPr>
                <w:color w:val="auto"/>
                <w:szCs w:val="20"/>
              </w:rPr>
            </w:pPr>
            <w:r w:rsidRPr="00751136">
              <w:rPr>
                <w:color w:val="auto"/>
                <w:szCs w:val="20"/>
              </w:rPr>
              <w:t>Trustee of the Trust</w:t>
            </w:r>
          </w:p>
        </w:tc>
      </w:tr>
      <w:tr w:rsidR="00D0298C" w:rsidRPr="00751136" w14:paraId="79CBE0E3" w14:textId="77777777" w:rsidTr="002C759A">
        <w:tc>
          <w:tcPr>
            <w:tcW w:w="3588" w:type="pct"/>
          </w:tcPr>
          <w:p w14:paraId="2E25185E" w14:textId="77777777" w:rsidR="00D0298C" w:rsidRPr="00751136" w:rsidRDefault="00D0298C" w:rsidP="0003043C">
            <w:pPr>
              <w:pStyle w:val="BodyTextIndent"/>
              <w:ind w:left="-101"/>
              <w:jc w:val="left"/>
              <w:rPr>
                <w:color w:val="auto"/>
                <w:spacing w:val="-4"/>
                <w:szCs w:val="20"/>
                <w:lang w:val="en-GB"/>
              </w:rPr>
            </w:pPr>
          </w:p>
        </w:tc>
        <w:tc>
          <w:tcPr>
            <w:tcW w:w="1412" w:type="pct"/>
            <w:vAlign w:val="center"/>
          </w:tcPr>
          <w:p w14:paraId="6024AB48" w14:textId="77777777" w:rsidR="00D0298C" w:rsidRPr="00751136" w:rsidRDefault="00D0298C" w:rsidP="0003043C">
            <w:pPr>
              <w:pStyle w:val="BodyTextIndent"/>
              <w:tabs>
                <w:tab w:val="decimal" w:pos="1325"/>
              </w:tabs>
              <w:ind w:left="540" w:right="-72"/>
              <w:jc w:val="right"/>
              <w:rPr>
                <w:color w:val="auto"/>
                <w:spacing w:val="-4"/>
                <w:szCs w:val="20"/>
                <w:lang w:val="en-GB"/>
              </w:rPr>
            </w:pPr>
          </w:p>
        </w:tc>
      </w:tr>
      <w:tr w:rsidR="00D0298C" w:rsidRPr="00751136" w14:paraId="2B3872C9" w14:textId="77777777" w:rsidTr="002C759A">
        <w:tc>
          <w:tcPr>
            <w:tcW w:w="3588" w:type="pct"/>
          </w:tcPr>
          <w:p w14:paraId="4AE8F687" w14:textId="77777777" w:rsidR="00D0298C" w:rsidRPr="00751136" w:rsidRDefault="00D0298C" w:rsidP="0003043C">
            <w:pPr>
              <w:pStyle w:val="BodyTextIndent"/>
              <w:ind w:left="-101"/>
              <w:jc w:val="left"/>
              <w:rPr>
                <w:color w:val="auto"/>
                <w:szCs w:val="20"/>
                <w:lang w:val="en-GB"/>
              </w:rPr>
            </w:pPr>
            <w:r w:rsidRPr="00751136">
              <w:rPr>
                <w:color w:val="auto"/>
                <w:szCs w:val="20"/>
                <w:lang w:val="en-GB"/>
              </w:rPr>
              <w:t>BBL Asset Management Company Limited</w:t>
            </w:r>
          </w:p>
        </w:tc>
        <w:tc>
          <w:tcPr>
            <w:tcW w:w="1412" w:type="pct"/>
            <w:vAlign w:val="center"/>
          </w:tcPr>
          <w:p w14:paraId="366A6884" w14:textId="4D1F95C4" w:rsidR="00D0298C" w:rsidRPr="00751136" w:rsidRDefault="00D0298C" w:rsidP="0003043C">
            <w:pPr>
              <w:pStyle w:val="BodyTextIndent"/>
              <w:tabs>
                <w:tab w:val="decimal" w:pos="1325"/>
              </w:tabs>
              <w:ind w:left="540" w:right="-72"/>
              <w:jc w:val="right"/>
              <w:rPr>
                <w:color w:val="auto"/>
                <w:spacing w:val="-4"/>
                <w:szCs w:val="20"/>
                <w:lang w:val="en-GB"/>
              </w:rPr>
            </w:pPr>
            <w:r w:rsidRPr="00751136">
              <w:rPr>
                <w:color w:val="auto"/>
                <w:spacing w:val="-4"/>
                <w:szCs w:val="20"/>
                <w:lang w:val="en-GB"/>
              </w:rPr>
              <w:t>REIT manager</w:t>
            </w:r>
          </w:p>
        </w:tc>
      </w:tr>
    </w:tbl>
    <w:p w14:paraId="29309DE4" w14:textId="4384DF39" w:rsidR="006E7553" w:rsidRPr="00751136" w:rsidRDefault="006E7553" w:rsidP="0003043C">
      <w:pPr>
        <w:jc w:val="both"/>
        <w:rPr>
          <w:color w:val="auto"/>
          <w:spacing w:val="-4"/>
        </w:rPr>
      </w:pPr>
    </w:p>
    <w:p w14:paraId="5EEE5C52" w14:textId="198CCA17" w:rsidR="00107B6E" w:rsidRPr="00751136" w:rsidRDefault="00EA0A42" w:rsidP="0003043C">
      <w:pPr>
        <w:jc w:val="both"/>
        <w:rPr>
          <w:color w:val="auto"/>
          <w:spacing w:val="-4"/>
        </w:rPr>
      </w:pPr>
      <w:r w:rsidRPr="00751136">
        <w:rPr>
          <w:color w:val="auto"/>
          <w:spacing w:val="-4"/>
        </w:rPr>
        <w:t xml:space="preserve">During the </w:t>
      </w:r>
      <w:r w:rsidR="00952DD5" w:rsidRPr="00751136">
        <w:rPr>
          <w:color w:val="auto"/>
          <w:spacing w:val="-4"/>
        </w:rPr>
        <w:t>year</w:t>
      </w:r>
      <w:r w:rsidR="007E5F52" w:rsidRPr="00751136">
        <w:rPr>
          <w:color w:val="auto"/>
          <w:spacing w:val="-4"/>
        </w:rPr>
        <w:t xml:space="preserve">, </w:t>
      </w:r>
      <w:r w:rsidR="000C1DE1" w:rsidRPr="00751136">
        <w:rPr>
          <w:color w:val="auto"/>
          <w:spacing w:val="-4"/>
        </w:rPr>
        <w:t>t</w:t>
      </w:r>
      <w:r w:rsidR="007E5F52" w:rsidRPr="00751136">
        <w:rPr>
          <w:color w:val="auto"/>
          <w:spacing w:val="-4"/>
        </w:rPr>
        <w:t xml:space="preserve">he </w:t>
      </w:r>
      <w:r w:rsidR="00F97032" w:rsidRPr="00751136">
        <w:rPr>
          <w:color w:val="auto"/>
          <w:spacing w:val="-4"/>
        </w:rPr>
        <w:t>Trust</w:t>
      </w:r>
      <w:r w:rsidR="007E5F52" w:rsidRPr="00751136">
        <w:rPr>
          <w:color w:val="auto"/>
          <w:spacing w:val="-4"/>
        </w:rPr>
        <w:t xml:space="preserve"> had </w:t>
      </w:r>
      <w:proofErr w:type="gramStart"/>
      <w:r w:rsidR="00930A0C" w:rsidRPr="00751136">
        <w:rPr>
          <w:color w:val="auto"/>
          <w:spacing w:val="-4"/>
        </w:rPr>
        <w:t>significant</w:t>
      </w:r>
      <w:proofErr w:type="gramEnd"/>
      <w:r w:rsidR="00930A0C" w:rsidRPr="00751136">
        <w:rPr>
          <w:color w:val="auto"/>
          <w:spacing w:val="-4"/>
        </w:rPr>
        <w:t xml:space="preserve"> </w:t>
      </w:r>
      <w:r w:rsidR="007E5F52" w:rsidRPr="00751136">
        <w:rPr>
          <w:color w:val="auto"/>
          <w:spacing w:val="-4"/>
        </w:rPr>
        <w:t>related part</w:t>
      </w:r>
      <w:r w:rsidR="007E5F52" w:rsidRPr="00751136">
        <w:rPr>
          <w:color w:val="auto"/>
          <w:spacing w:val="-4"/>
          <w:lang w:val="en-GB"/>
        </w:rPr>
        <w:t>y</w:t>
      </w:r>
      <w:r w:rsidR="007E5F52" w:rsidRPr="00751136">
        <w:rPr>
          <w:color w:val="auto"/>
          <w:spacing w:val="-4"/>
        </w:rPr>
        <w:t xml:space="preserve"> </w:t>
      </w:r>
      <w:r w:rsidR="00930A0C" w:rsidRPr="00751136">
        <w:rPr>
          <w:color w:val="auto"/>
          <w:spacing w:val="-4"/>
        </w:rPr>
        <w:t>transactions</w:t>
      </w:r>
      <w:r w:rsidR="005B50D7" w:rsidRPr="00751136">
        <w:rPr>
          <w:color w:val="auto"/>
          <w:spacing w:val="-4"/>
        </w:rPr>
        <w:t xml:space="preserve"> with the </w:t>
      </w:r>
      <w:r w:rsidR="00F97032" w:rsidRPr="00751136">
        <w:rPr>
          <w:color w:val="auto"/>
          <w:spacing w:val="-4"/>
        </w:rPr>
        <w:t>Trust</w:t>
      </w:r>
      <w:r w:rsidR="005B50D7" w:rsidRPr="00751136">
        <w:rPr>
          <w:color w:val="auto"/>
          <w:spacing w:val="-4"/>
        </w:rPr>
        <w:t>’s</w:t>
      </w:r>
      <w:r w:rsidR="00680AEA" w:rsidRPr="00751136">
        <w:rPr>
          <w:color w:val="auto"/>
          <w:spacing w:val="-4"/>
        </w:rPr>
        <w:t xml:space="preserve"> </w:t>
      </w:r>
      <w:r w:rsidR="000C1DE1" w:rsidRPr="00751136">
        <w:rPr>
          <w:color w:val="auto"/>
          <w:spacing w:val="-4"/>
        </w:rPr>
        <w:t>REIT Manager</w:t>
      </w:r>
      <w:r w:rsidR="005B50D7" w:rsidRPr="00751136">
        <w:rPr>
          <w:color w:val="auto"/>
        </w:rPr>
        <w:t xml:space="preserve"> and other entities which ha</w:t>
      </w:r>
      <w:r w:rsidR="00481105" w:rsidRPr="00751136">
        <w:rPr>
          <w:color w:val="auto"/>
        </w:rPr>
        <w:t>ve</w:t>
      </w:r>
      <w:r w:rsidR="005B50D7" w:rsidRPr="00751136">
        <w:rPr>
          <w:color w:val="auto"/>
        </w:rPr>
        <w:t xml:space="preserve"> the same shareholders or directors</w:t>
      </w:r>
      <w:r w:rsidR="00930A0C" w:rsidRPr="00751136">
        <w:rPr>
          <w:color w:val="auto"/>
        </w:rPr>
        <w:t xml:space="preserve"> </w:t>
      </w:r>
      <w:r w:rsidR="005B50D7" w:rsidRPr="00751136">
        <w:rPr>
          <w:color w:val="auto"/>
        </w:rPr>
        <w:t xml:space="preserve">as the </w:t>
      </w:r>
      <w:r w:rsidR="000C1DE1" w:rsidRPr="00751136">
        <w:rPr>
          <w:color w:val="auto"/>
        </w:rPr>
        <w:t>REIT Manager</w:t>
      </w:r>
      <w:r w:rsidR="005B50D7" w:rsidRPr="00751136">
        <w:rPr>
          <w:color w:val="auto"/>
        </w:rPr>
        <w:t xml:space="preserve"> and the </w:t>
      </w:r>
      <w:r w:rsidR="00F97032" w:rsidRPr="00751136">
        <w:rPr>
          <w:color w:val="auto"/>
        </w:rPr>
        <w:t>Trust</w:t>
      </w:r>
      <w:r w:rsidR="00444285" w:rsidRPr="00751136">
        <w:rPr>
          <w:color w:val="auto"/>
        </w:rPr>
        <w:t xml:space="preserve">. </w:t>
      </w:r>
      <w:r w:rsidR="00F963D6" w:rsidRPr="00751136">
        <w:rPr>
          <w:color w:val="auto"/>
        </w:rPr>
        <w:br/>
      </w:r>
      <w:r w:rsidR="00444285" w:rsidRPr="00751136">
        <w:rPr>
          <w:color w:val="auto"/>
        </w:rPr>
        <w:t>The transactions</w:t>
      </w:r>
      <w:r w:rsidR="005B50D7" w:rsidRPr="00751136">
        <w:rPr>
          <w:color w:val="auto"/>
        </w:rPr>
        <w:t xml:space="preserve"> for the </w:t>
      </w:r>
      <w:r w:rsidR="00952DD5" w:rsidRPr="00751136">
        <w:rPr>
          <w:color w:val="auto"/>
        </w:rPr>
        <w:t>year</w:t>
      </w:r>
      <w:r w:rsidR="005B50D7" w:rsidRPr="00751136">
        <w:rPr>
          <w:color w:val="auto"/>
        </w:rPr>
        <w:t xml:space="preserve"> ended </w:t>
      </w:r>
      <w:r w:rsidR="001659E8" w:rsidRPr="00751136">
        <w:rPr>
          <w:color w:val="auto"/>
          <w:lang w:val="en-GB"/>
        </w:rPr>
        <w:t>31</w:t>
      </w:r>
      <w:r w:rsidR="00B705CB" w:rsidRPr="00751136">
        <w:rPr>
          <w:color w:val="auto"/>
        </w:rPr>
        <w:t xml:space="preserve"> Dec</w:t>
      </w:r>
      <w:r w:rsidR="0034148F" w:rsidRPr="00751136">
        <w:rPr>
          <w:color w:val="auto"/>
        </w:rPr>
        <w:t>ember</w:t>
      </w:r>
      <w:r w:rsidR="005B50D7" w:rsidRPr="00751136">
        <w:rPr>
          <w:color w:val="auto"/>
        </w:rPr>
        <w:t xml:space="preserve"> </w:t>
      </w:r>
      <w:r w:rsidR="000A5A07" w:rsidRPr="00751136">
        <w:rPr>
          <w:color w:val="auto"/>
        </w:rPr>
        <w:t>2025 and</w:t>
      </w:r>
      <w:r w:rsidR="00921493" w:rsidRPr="00751136">
        <w:t xml:space="preserve"> f</w:t>
      </w:r>
      <w:r w:rsidR="00921493" w:rsidRPr="00751136">
        <w:rPr>
          <w:color w:val="auto"/>
        </w:rPr>
        <w:t xml:space="preserve">or the period from 22 August 2024 to </w:t>
      </w:r>
      <w:r w:rsidR="00F963D6" w:rsidRPr="00751136">
        <w:rPr>
          <w:color w:val="auto"/>
        </w:rPr>
        <w:br/>
      </w:r>
      <w:r w:rsidR="00921493" w:rsidRPr="00751136">
        <w:rPr>
          <w:color w:val="auto"/>
        </w:rPr>
        <w:t xml:space="preserve">31 December </w:t>
      </w:r>
      <w:r w:rsidR="00E553D2" w:rsidRPr="00751136">
        <w:rPr>
          <w:color w:val="auto"/>
          <w:lang w:val="en-GB"/>
        </w:rPr>
        <w:t>2024</w:t>
      </w:r>
      <w:r w:rsidR="005B50D7" w:rsidRPr="00751136">
        <w:rPr>
          <w:color w:val="auto"/>
          <w:spacing w:val="-4"/>
        </w:rPr>
        <w:t xml:space="preserve"> </w:t>
      </w:r>
      <w:r w:rsidR="00444285" w:rsidRPr="00751136">
        <w:rPr>
          <w:color w:val="auto"/>
          <w:spacing w:val="-4"/>
        </w:rPr>
        <w:t xml:space="preserve">are </w:t>
      </w:r>
      <w:r w:rsidR="005B50D7" w:rsidRPr="00751136">
        <w:rPr>
          <w:color w:val="auto"/>
          <w:spacing w:val="-4"/>
        </w:rPr>
        <w:t>as follows</w:t>
      </w:r>
      <w:r w:rsidR="00930A0C" w:rsidRPr="00751136">
        <w:rPr>
          <w:color w:val="auto"/>
          <w:spacing w:val="-4"/>
        </w:rPr>
        <w:t>:</w:t>
      </w:r>
    </w:p>
    <w:p w14:paraId="16913FDB" w14:textId="77777777" w:rsidR="00924BF8" w:rsidRPr="00751136" w:rsidRDefault="00924BF8" w:rsidP="0003043C">
      <w:pPr>
        <w:jc w:val="both"/>
        <w:rPr>
          <w:color w:val="auto"/>
          <w:spacing w:val="-4"/>
        </w:rPr>
      </w:pPr>
    </w:p>
    <w:tbl>
      <w:tblPr>
        <w:tblW w:w="4889" w:type="pct"/>
        <w:tblInd w:w="108" w:type="dxa"/>
        <w:tblLayout w:type="fixed"/>
        <w:tblLook w:val="0000" w:firstRow="0" w:lastRow="0" w:firstColumn="0" w:lastColumn="0" w:noHBand="0" w:noVBand="0"/>
      </w:tblPr>
      <w:tblGrid>
        <w:gridCol w:w="4637"/>
        <w:gridCol w:w="1056"/>
        <w:gridCol w:w="1531"/>
        <w:gridCol w:w="1813"/>
      </w:tblGrid>
      <w:tr w:rsidR="00BB026C" w:rsidRPr="00751136" w14:paraId="2C680B6A" w14:textId="77777777" w:rsidTr="00F963D6">
        <w:tc>
          <w:tcPr>
            <w:tcW w:w="2566" w:type="pct"/>
            <w:vAlign w:val="bottom"/>
          </w:tcPr>
          <w:p w14:paraId="4CDBC31B" w14:textId="77777777" w:rsidR="00BB026C" w:rsidRPr="00751136" w:rsidRDefault="00BB026C" w:rsidP="0003043C">
            <w:pPr>
              <w:pStyle w:val="BodyTextIndent"/>
              <w:ind w:left="-101"/>
              <w:jc w:val="left"/>
              <w:rPr>
                <w:color w:val="auto"/>
                <w:sz w:val="18"/>
                <w:szCs w:val="18"/>
              </w:rPr>
            </w:pPr>
          </w:p>
        </w:tc>
        <w:tc>
          <w:tcPr>
            <w:tcW w:w="584" w:type="pct"/>
            <w:vAlign w:val="bottom"/>
          </w:tcPr>
          <w:p w14:paraId="25D8B109" w14:textId="77777777" w:rsidR="00BB026C" w:rsidRPr="00751136" w:rsidRDefault="00BB026C" w:rsidP="0003043C">
            <w:pPr>
              <w:pStyle w:val="BodyTextIndent"/>
              <w:ind w:left="0" w:right="-72"/>
              <w:jc w:val="right"/>
              <w:rPr>
                <w:b/>
                <w:bCs/>
                <w:color w:val="auto"/>
                <w:sz w:val="18"/>
                <w:szCs w:val="18"/>
                <w:lang w:val="en-GB"/>
              </w:rPr>
            </w:pPr>
          </w:p>
        </w:tc>
        <w:tc>
          <w:tcPr>
            <w:tcW w:w="847" w:type="pct"/>
            <w:vAlign w:val="bottom"/>
          </w:tcPr>
          <w:p w14:paraId="48AF77D0" w14:textId="77777777" w:rsidR="00385679" w:rsidRPr="00751136" w:rsidRDefault="00BB026C" w:rsidP="0003043C">
            <w:pPr>
              <w:pStyle w:val="BodyTextIndent"/>
              <w:ind w:left="0" w:right="-72"/>
              <w:jc w:val="right"/>
              <w:rPr>
                <w:b/>
                <w:bCs/>
                <w:color w:val="auto"/>
                <w:sz w:val="18"/>
                <w:szCs w:val="18"/>
                <w:lang w:val="en-GB"/>
              </w:rPr>
            </w:pPr>
            <w:r w:rsidRPr="00751136">
              <w:rPr>
                <w:b/>
                <w:bCs/>
                <w:color w:val="auto"/>
                <w:sz w:val="18"/>
                <w:szCs w:val="18"/>
                <w:lang w:val="en-GB"/>
              </w:rPr>
              <w:t>For the</w:t>
            </w:r>
          </w:p>
          <w:p w14:paraId="6660D924" w14:textId="77777777" w:rsidR="00385679" w:rsidRPr="00751136" w:rsidRDefault="00BB026C" w:rsidP="0003043C">
            <w:pPr>
              <w:pStyle w:val="BodyTextIndent"/>
              <w:ind w:left="0" w:right="-72"/>
              <w:jc w:val="right"/>
              <w:rPr>
                <w:b/>
                <w:bCs/>
                <w:color w:val="auto"/>
                <w:sz w:val="18"/>
                <w:szCs w:val="18"/>
                <w:lang w:val="en-GB"/>
              </w:rPr>
            </w:pPr>
            <w:r w:rsidRPr="00751136">
              <w:rPr>
                <w:b/>
                <w:bCs/>
                <w:color w:val="auto"/>
                <w:sz w:val="18"/>
                <w:szCs w:val="18"/>
                <w:lang w:val="en-GB"/>
              </w:rPr>
              <w:t xml:space="preserve"> period</w:t>
            </w:r>
            <w:r w:rsidRPr="00751136">
              <w:rPr>
                <w:b/>
                <w:bCs/>
                <w:sz w:val="18"/>
                <w:lang w:val="en-GB"/>
              </w:rPr>
              <w:t xml:space="preserve"> </w:t>
            </w:r>
            <w:r w:rsidRPr="00751136">
              <w:rPr>
                <w:b/>
                <w:bCs/>
                <w:color w:val="auto"/>
                <w:sz w:val="18"/>
                <w:szCs w:val="18"/>
                <w:lang w:val="en-GB"/>
              </w:rPr>
              <w:t xml:space="preserve">from </w:t>
            </w:r>
          </w:p>
          <w:p w14:paraId="74D5AFE5" w14:textId="77777777" w:rsidR="00385679" w:rsidRPr="00751136" w:rsidRDefault="00BB026C" w:rsidP="0003043C">
            <w:pPr>
              <w:pStyle w:val="BodyTextIndent"/>
              <w:ind w:left="0" w:right="-72"/>
              <w:jc w:val="right"/>
              <w:rPr>
                <w:b/>
                <w:bCs/>
                <w:sz w:val="18"/>
                <w:lang w:val="en-GB"/>
              </w:rPr>
            </w:pPr>
            <w:r w:rsidRPr="00751136">
              <w:rPr>
                <w:b/>
                <w:bCs/>
                <w:color w:val="auto"/>
                <w:sz w:val="18"/>
                <w:szCs w:val="18"/>
                <w:lang w:val="en-GB"/>
              </w:rPr>
              <w:t>22 August 2024</w:t>
            </w:r>
            <w:r w:rsidRPr="00751136">
              <w:rPr>
                <w:b/>
                <w:bCs/>
                <w:sz w:val="18"/>
                <w:lang w:val="en-GB"/>
              </w:rPr>
              <w:t xml:space="preserve"> </w:t>
            </w:r>
          </w:p>
          <w:p w14:paraId="050C7207" w14:textId="2C773915" w:rsidR="00BB026C" w:rsidRPr="00751136" w:rsidRDefault="00BB026C" w:rsidP="0003043C">
            <w:pPr>
              <w:pStyle w:val="BodyTextIndent"/>
              <w:ind w:left="0" w:right="-72"/>
              <w:jc w:val="right"/>
              <w:rPr>
                <w:b/>
                <w:bCs/>
                <w:color w:val="auto"/>
                <w:sz w:val="18"/>
                <w:szCs w:val="18"/>
                <w:lang w:val="en-GB"/>
              </w:rPr>
            </w:pPr>
            <w:r w:rsidRPr="00751136">
              <w:rPr>
                <w:b/>
                <w:bCs/>
                <w:color w:val="auto"/>
                <w:sz w:val="18"/>
                <w:szCs w:val="18"/>
                <w:lang w:val="en-GB"/>
              </w:rPr>
              <w:t xml:space="preserve">to 31 December  </w:t>
            </w:r>
          </w:p>
        </w:tc>
        <w:tc>
          <w:tcPr>
            <w:tcW w:w="1004" w:type="pct"/>
          </w:tcPr>
          <w:p w14:paraId="497F1C28" w14:textId="77777777" w:rsidR="00BB026C" w:rsidRPr="00751136" w:rsidRDefault="00BB026C" w:rsidP="0003043C">
            <w:pPr>
              <w:pStyle w:val="BodyTextIndent"/>
              <w:tabs>
                <w:tab w:val="decimal" w:pos="1325"/>
              </w:tabs>
              <w:ind w:left="0" w:right="-72"/>
              <w:jc w:val="right"/>
              <w:rPr>
                <w:b/>
                <w:bCs/>
                <w:color w:val="auto"/>
                <w:sz w:val="18"/>
                <w:szCs w:val="18"/>
                <w:lang w:val="en-GB"/>
              </w:rPr>
            </w:pPr>
          </w:p>
        </w:tc>
      </w:tr>
      <w:tr w:rsidR="000A5A07" w:rsidRPr="00751136" w14:paraId="0AB0465C" w14:textId="77777777" w:rsidTr="00F963D6">
        <w:tc>
          <w:tcPr>
            <w:tcW w:w="2566" w:type="pct"/>
            <w:vAlign w:val="bottom"/>
          </w:tcPr>
          <w:p w14:paraId="70AE83A1" w14:textId="77777777" w:rsidR="000A5A07" w:rsidRPr="00751136" w:rsidRDefault="000A5A07" w:rsidP="0003043C">
            <w:pPr>
              <w:pStyle w:val="BodyTextIndent"/>
              <w:ind w:left="-101"/>
              <w:jc w:val="left"/>
              <w:rPr>
                <w:color w:val="auto"/>
                <w:sz w:val="18"/>
                <w:szCs w:val="18"/>
              </w:rPr>
            </w:pPr>
            <w:bookmarkStart w:id="9" w:name="_Hlk191458865"/>
          </w:p>
        </w:tc>
        <w:tc>
          <w:tcPr>
            <w:tcW w:w="584" w:type="pct"/>
            <w:vAlign w:val="bottom"/>
          </w:tcPr>
          <w:p w14:paraId="16C832C1" w14:textId="19D78D35" w:rsidR="000A5A07" w:rsidRPr="00751136" w:rsidRDefault="000A5A07" w:rsidP="0003043C">
            <w:pPr>
              <w:pStyle w:val="BodyTextIndent"/>
              <w:ind w:left="0" w:right="-72"/>
              <w:jc w:val="right"/>
              <w:rPr>
                <w:b/>
                <w:bCs/>
                <w:color w:val="auto"/>
                <w:sz w:val="18"/>
                <w:szCs w:val="18"/>
                <w:lang w:val="en-GB"/>
              </w:rPr>
            </w:pPr>
            <w:r w:rsidRPr="00751136">
              <w:rPr>
                <w:b/>
                <w:bCs/>
                <w:color w:val="auto"/>
                <w:sz w:val="18"/>
                <w:szCs w:val="18"/>
                <w:lang w:val="en-GB"/>
              </w:rPr>
              <w:t>2025</w:t>
            </w:r>
          </w:p>
        </w:tc>
        <w:tc>
          <w:tcPr>
            <w:tcW w:w="847" w:type="pct"/>
            <w:vAlign w:val="bottom"/>
          </w:tcPr>
          <w:p w14:paraId="71FCA33C" w14:textId="1631FD1E" w:rsidR="000A5A07" w:rsidRPr="00751136" w:rsidRDefault="000A5A07" w:rsidP="0003043C">
            <w:pPr>
              <w:pStyle w:val="BodyTextIndent"/>
              <w:ind w:left="0" w:right="-72"/>
              <w:jc w:val="right"/>
              <w:rPr>
                <w:b/>
                <w:bCs/>
                <w:color w:val="auto"/>
                <w:sz w:val="18"/>
                <w:szCs w:val="18"/>
              </w:rPr>
            </w:pPr>
            <w:r w:rsidRPr="00751136">
              <w:rPr>
                <w:b/>
                <w:bCs/>
                <w:color w:val="auto"/>
                <w:sz w:val="18"/>
                <w:szCs w:val="18"/>
                <w:lang w:val="en-GB"/>
              </w:rPr>
              <w:t>2024</w:t>
            </w:r>
          </w:p>
        </w:tc>
        <w:tc>
          <w:tcPr>
            <w:tcW w:w="1004" w:type="pct"/>
          </w:tcPr>
          <w:p w14:paraId="51DC4783" w14:textId="77777777" w:rsidR="000A5A07" w:rsidRPr="00751136" w:rsidRDefault="000A5A07" w:rsidP="0003043C">
            <w:pPr>
              <w:pStyle w:val="BodyTextIndent"/>
              <w:tabs>
                <w:tab w:val="decimal" w:pos="1325"/>
              </w:tabs>
              <w:ind w:left="0" w:right="-72"/>
              <w:jc w:val="right"/>
              <w:rPr>
                <w:b/>
                <w:bCs/>
                <w:color w:val="auto"/>
                <w:sz w:val="18"/>
                <w:szCs w:val="18"/>
              </w:rPr>
            </w:pPr>
          </w:p>
        </w:tc>
      </w:tr>
      <w:tr w:rsidR="000A5A07" w:rsidRPr="00751136" w14:paraId="3AA3AE16" w14:textId="77777777" w:rsidTr="00F963D6">
        <w:tc>
          <w:tcPr>
            <w:tcW w:w="2566" w:type="pct"/>
            <w:vAlign w:val="bottom"/>
          </w:tcPr>
          <w:p w14:paraId="2787DBC4" w14:textId="77777777" w:rsidR="000A5A07" w:rsidRPr="00751136" w:rsidRDefault="000A5A07" w:rsidP="0003043C">
            <w:pPr>
              <w:pStyle w:val="BodyTextIndent"/>
              <w:ind w:left="-101"/>
              <w:jc w:val="left"/>
              <w:rPr>
                <w:color w:val="auto"/>
                <w:sz w:val="18"/>
                <w:szCs w:val="18"/>
                <w:lang w:val="en-GB"/>
              </w:rPr>
            </w:pPr>
          </w:p>
        </w:tc>
        <w:tc>
          <w:tcPr>
            <w:tcW w:w="584" w:type="pct"/>
            <w:tcBorders>
              <w:bottom w:val="single" w:sz="4" w:space="0" w:color="auto"/>
            </w:tcBorders>
            <w:vAlign w:val="bottom"/>
          </w:tcPr>
          <w:p w14:paraId="2798F923" w14:textId="18635604" w:rsidR="000A5A07" w:rsidRPr="00751136" w:rsidRDefault="000A5A07" w:rsidP="0003043C">
            <w:pPr>
              <w:pStyle w:val="BodyTextIndent"/>
              <w:ind w:left="0" w:right="-72"/>
              <w:jc w:val="right"/>
              <w:rPr>
                <w:b/>
                <w:bCs/>
                <w:color w:val="auto"/>
                <w:sz w:val="18"/>
                <w:szCs w:val="18"/>
              </w:rPr>
            </w:pPr>
            <w:r w:rsidRPr="00751136">
              <w:rPr>
                <w:b/>
                <w:bCs/>
                <w:color w:val="auto"/>
                <w:sz w:val="18"/>
                <w:szCs w:val="18"/>
              </w:rPr>
              <w:t>Baht</w:t>
            </w:r>
          </w:p>
        </w:tc>
        <w:tc>
          <w:tcPr>
            <w:tcW w:w="847" w:type="pct"/>
            <w:tcBorders>
              <w:bottom w:val="single" w:sz="4" w:space="0" w:color="auto"/>
            </w:tcBorders>
            <w:vAlign w:val="bottom"/>
          </w:tcPr>
          <w:p w14:paraId="2206A55A" w14:textId="194FDB33" w:rsidR="000A5A07" w:rsidRPr="00751136" w:rsidRDefault="000A5A07" w:rsidP="0003043C">
            <w:pPr>
              <w:pStyle w:val="BodyTextIndent"/>
              <w:ind w:left="0" w:right="-72"/>
              <w:jc w:val="right"/>
              <w:rPr>
                <w:color w:val="auto"/>
                <w:sz w:val="18"/>
                <w:szCs w:val="18"/>
                <w:lang w:val="en-GB"/>
              </w:rPr>
            </w:pPr>
            <w:r w:rsidRPr="00751136">
              <w:rPr>
                <w:b/>
                <w:bCs/>
                <w:color w:val="auto"/>
                <w:sz w:val="18"/>
                <w:szCs w:val="18"/>
              </w:rPr>
              <w:t>Baht</w:t>
            </w:r>
          </w:p>
        </w:tc>
        <w:tc>
          <w:tcPr>
            <w:tcW w:w="1004" w:type="pct"/>
            <w:tcBorders>
              <w:bottom w:val="single" w:sz="4" w:space="0" w:color="auto"/>
            </w:tcBorders>
          </w:tcPr>
          <w:p w14:paraId="14B33923" w14:textId="77777777" w:rsidR="000A5A07" w:rsidRPr="00751136" w:rsidRDefault="000A5A07" w:rsidP="0003043C">
            <w:pPr>
              <w:pStyle w:val="BodyTextIndent"/>
              <w:tabs>
                <w:tab w:val="decimal" w:pos="1325"/>
              </w:tabs>
              <w:ind w:left="0" w:right="-72"/>
              <w:jc w:val="right"/>
              <w:rPr>
                <w:b/>
                <w:bCs/>
                <w:color w:val="auto"/>
                <w:sz w:val="18"/>
                <w:szCs w:val="18"/>
              </w:rPr>
            </w:pPr>
            <w:r w:rsidRPr="00751136">
              <w:rPr>
                <w:b/>
                <w:bCs/>
                <w:color w:val="auto"/>
                <w:sz w:val="18"/>
                <w:szCs w:val="18"/>
              </w:rPr>
              <w:t>Pricing policy</w:t>
            </w:r>
          </w:p>
        </w:tc>
      </w:tr>
      <w:tr w:rsidR="000A5A07" w:rsidRPr="00751136" w14:paraId="2907E9DA" w14:textId="77777777" w:rsidTr="00F963D6">
        <w:tc>
          <w:tcPr>
            <w:tcW w:w="2566" w:type="pct"/>
            <w:vAlign w:val="bottom"/>
          </w:tcPr>
          <w:p w14:paraId="01903A3F" w14:textId="77777777" w:rsidR="000A5A07" w:rsidRPr="00751136" w:rsidRDefault="000A5A07" w:rsidP="0003043C">
            <w:pPr>
              <w:pStyle w:val="BodyTextIndent"/>
              <w:ind w:left="-101"/>
              <w:jc w:val="left"/>
              <w:rPr>
                <w:color w:val="auto"/>
                <w:sz w:val="18"/>
                <w:szCs w:val="18"/>
              </w:rPr>
            </w:pPr>
            <w:proofErr w:type="spellStart"/>
            <w:r w:rsidRPr="00751136">
              <w:rPr>
                <w:color w:val="auto"/>
                <w:sz w:val="18"/>
                <w:szCs w:val="18"/>
              </w:rPr>
              <w:t>Rangsit</w:t>
            </w:r>
            <w:proofErr w:type="spellEnd"/>
            <w:r w:rsidRPr="00751136">
              <w:rPr>
                <w:color w:val="auto"/>
                <w:sz w:val="18"/>
                <w:szCs w:val="18"/>
              </w:rPr>
              <w:t xml:space="preserve"> Plaza Company Limited</w:t>
            </w:r>
          </w:p>
        </w:tc>
        <w:tc>
          <w:tcPr>
            <w:tcW w:w="584" w:type="pct"/>
            <w:tcBorders>
              <w:top w:val="single" w:sz="4" w:space="0" w:color="auto"/>
            </w:tcBorders>
          </w:tcPr>
          <w:p w14:paraId="6CBCC332" w14:textId="77777777" w:rsidR="000A5A07" w:rsidRPr="00751136" w:rsidRDefault="000A5A07" w:rsidP="0003043C">
            <w:pPr>
              <w:pStyle w:val="BodyTextIndent"/>
              <w:ind w:left="0" w:right="-72"/>
              <w:jc w:val="right"/>
              <w:rPr>
                <w:color w:val="auto"/>
                <w:sz w:val="18"/>
                <w:szCs w:val="18"/>
              </w:rPr>
            </w:pPr>
          </w:p>
        </w:tc>
        <w:tc>
          <w:tcPr>
            <w:tcW w:w="847" w:type="pct"/>
            <w:tcBorders>
              <w:top w:val="single" w:sz="4" w:space="0" w:color="auto"/>
            </w:tcBorders>
            <w:vAlign w:val="bottom"/>
          </w:tcPr>
          <w:p w14:paraId="1517286E" w14:textId="329A83BD" w:rsidR="000A5A07" w:rsidRPr="00751136" w:rsidRDefault="000A5A07" w:rsidP="0003043C">
            <w:pPr>
              <w:pStyle w:val="BodyTextIndent"/>
              <w:ind w:left="0" w:right="-72"/>
              <w:jc w:val="right"/>
              <w:rPr>
                <w:color w:val="auto"/>
                <w:sz w:val="18"/>
                <w:szCs w:val="18"/>
              </w:rPr>
            </w:pPr>
          </w:p>
        </w:tc>
        <w:tc>
          <w:tcPr>
            <w:tcW w:w="1004" w:type="pct"/>
            <w:tcBorders>
              <w:top w:val="single" w:sz="4" w:space="0" w:color="auto"/>
            </w:tcBorders>
          </w:tcPr>
          <w:p w14:paraId="496B00BB" w14:textId="77777777" w:rsidR="000A5A07" w:rsidRPr="00751136" w:rsidRDefault="000A5A07" w:rsidP="0003043C">
            <w:pPr>
              <w:pStyle w:val="BodyTextIndent"/>
              <w:tabs>
                <w:tab w:val="decimal" w:pos="1325"/>
              </w:tabs>
              <w:ind w:left="0" w:right="-72"/>
              <w:jc w:val="right"/>
              <w:rPr>
                <w:color w:val="auto"/>
                <w:sz w:val="18"/>
                <w:szCs w:val="18"/>
              </w:rPr>
            </w:pPr>
          </w:p>
        </w:tc>
      </w:tr>
      <w:tr w:rsidR="000A5A07" w:rsidRPr="00751136" w14:paraId="06F9428C" w14:textId="77777777" w:rsidTr="00F963D6">
        <w:tc>
          <w:tcPr>
            <w:tcW w:w="2566" w:type="pct"/>
            <w:vAlign w:val="bottom"/>
          </w:tcPr>
          <w:p w14:paraId="2FA31F2C" w14:textId="77777777" w:rsidR="000A5A07" w:rsidRPr="00751136" w:rsidRDefault="000A5A07" w:rsidP="0003043C">
            <w:pPr>
              <w:pStyle w:val="BodyTextIndent"/>
              <w:ind w:left="-101"/>
              <w:jc w:val="left"/>
              <w:rPr>
                <w:color w:val="auto"/>
                <w:sz w:val="18"/>
                <w:szCs w:val="18"/>
                <w:lang w:val="en-GB"/>
              </w:rPr>
            </w:pPr>
            <w:bookmarkStart w:id="10" w:name="OLE_LINK7"/>
            <w:r w:rsidRPr="00751136">
              <w:rPr>
                <w:color w:val="auto"/>
                <w:sz w:val="18"/>
                <w:szCs w:val="18"/>
                <w:lang w:val="en-GB"/>
              </w:rPr>
              <w:t xml:space="preserve">   Rental and services income</w:t>
            </w:r>
          </w:p>
        </w:tc>
        <w:tc>
          <w:tcPr>
            <w:tcW w:w="584" w:type="pct"/>
          </w:tcPr>
          <w:p w14:paraId="35C5E4F6" w14:textId="352D52FB" w:rsidR="000A5A07" w:rsidRPr="00751136" w:rsidRDefault="00480BE1" w:rsidP="0003043C">
            <w:pPr>
              <w:pStyle w:val="BodyTextIndent"/>
              <w:ind w:left="0" w:right="-72"/>
              <w:jc w:val="right"/>
              <w:rPr>
                <w:color w:val="auto"/>
                <w:sz w:val="18"/>
                <w:szCs w:val="18"/>
              </w:rPr>
            </w:pPr>
            <w:r w:rsidRPr="00751136">
              <w:rPr>
                <w:color w:val="auto"/>
                <w:sz w:val="18"/>
                <w:szCs w:val="18"/>
              </w:rPr>
              <w:t>32,713,265</w:t>
            </w:r>
          </w:p>
        </w:tc>
        <w:tc>
          <w:tcPr>
            <w:tcW w:w="847" w:type="pct"/>
            <w:vAlign w:val="bottom"/>
          </w:tcPr>
          <w:p w14:paraId="1FEF9FB2" w14:textId="209957B1" w:rsidR="000A5A07" w:rsidRPr="00751136" w:rsidRDefault="000A5A07" w:rsidP="0003043C">
            <w:pPr>
              <w:pStyle w:val="BodyTextIndent"/>
              <w:ind w:left="0" w:right="-72"/>
              <w:jc w:val="right"/>
              <w:rPr>
                <w:color w:val="auto"/>
                <w:sz w:val="18"/>
                <w:szCs w:val="18"/>
              </w:rPr>
            </w:pPr>
            <w:r w:rsidRPr="00751136">
              <w:rPr>
                <w:color w:val="auto"/>
                <w:sz w:val="18"/>
                <w:szCs w:val="18"/>
              </w:rPr>
              <w:t>8,148,524</w:t>
            </w:r>
          </w:p>
        </w:tc>
        <w:tc>
          <w:tcPr>
            <w:tcW w:w="1004" w:type="pct"/>
            <w:vAlign w:val="bottom"/>
          </w:tcPr>
          <w:p w14:paraId="7065A85F" w14:textId="77777777"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Market rate</w:t>
            </w:r>
          </w:p>
        </w:tc>
      </w:tr>
      <w:tr w:rsidR="000A5A07" w:rsidRPr="00751136" w14:paraId="65A510DF" w14:textId="77777777" w:rsidTr="00F963D6">
        <w:tc>
          <w:tcPr>
            <w:tcW w:w="2566" w:type="pct"/>
            <w:vAlign w:val="bottom"/>
          </w:tcPr>
          <w:p w14:paraId="237A960E" w14:textId="42806F91" w:rsidR="000A5A07" w:rsidRPr="00751136" w:rsidRDefault="000A5A07" w:rsidP="0003043C">
            <w:pPr>
              <w:pStyle w:val="BodyTextIndent"/>
              <w:ind w:left="-101"/>
              <w:jc w:val="left"/>
              <w:rPr>
                <w:color w:val="auto"/>
                <w:sz w:val="18"/>
                <w:szCs w:val="18"/>
                <w:lang w:val="en-GB"/>
              </w:rPr>
            </w:pPr>
            <w:r w:rsidRPr="00751136">
              <w:rPr>
                <w:color w:val="auto"/>
                <w:sz w:val="18"/>
                <w:szCs w:val="18"/>
                <w:lang w:val="en-GB"/>
              </w:rPr>
              <w:t xml:space="preserve">   Property management fees</w:t>
            </w:r>
          </w:p>
        </w:tc>
        <w:tc>
          <w:tcPr>
            <w:tcW w:w="584" w:type="pct"/>
          </w:tcPr>
          <w:p w14:paraId="4B21E081" w14:textId="5D3F3242" w:rsidR="000A5A07" w:rsidRPr="00751136" w:rsidRDefault="00480BE1" w:rsidP="0003043C">
            <w:pPr>
              <w:pStyle w:val="BodyTextIndent"/>
              <w:ind w:left="0" w:right="-72"/>
              <w:jc w:val="right"/>
              <w:rPr>
                <w:color w:val="auto"/>
                <w:sz w:val="18"/>
                <w:szCs w:val="18"/>
              </w:rPr>
            </w:pPr>
            <w:r w:rsidRPr="00751136">
              <w:rPr>
                <w:color w:val="auto"/>
                <w:sz w:val="18"/>
                <w:szCs w:val="18"/>
              </w:rPr>
              <w:t>92,677,133</w:t>
            </w:r>
          </w:p>
        </w:tc>
        <w:tc>
          <w:tcPr>
            <w:tcW w:w="847" w:type="pct"/>
            <w:vAlign w:val="bottom"/>
          </w:tcPr>
          <w:p w14:paraId="30DB5C79" w14:textId="03ED8C09" w:rsidR="000A5A07" w:rsidRPr="00751136" w:rsidRDefault="000A5A07" w:rsidP="0003043C">
            <w:pPr>
              <w:pStyle w:val="BodyTextIndent"/>
              <w:ind w:left="0" w:right="-72"/>
              <w:jc w:val="right"/>
              <w:rPr>
                <w:color w:val="auto"/>
                <w:sz w:val="18"/>
                <w:szCs w:val="18"/>
              </w:rPr>
            </w:pPr>
            <w:r w:rsidRPr="00751136">
              <w:rPr>
                <w:color w:val="auto"/>
                <w:sz w:val="18"/>
                <w:szCs w:val="18"/>
              </w:rPr>
              <w:t>23,139,743</w:t>
            </w:r>
          </w:p>
        </w:tc>
        <w:tc>
          <w:tcPr>
            <w:tcW w:w="1004" w:type="pct"/>
            <w:vAlign w:val="center"/>
          </w:tcPr>
          <w:p w14:paraId="7D3B43CD" w14:textId="36E19CEE"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 xml:space="preserve">In accordance with </w:t>
            </w:r>
          </w:p>
        </w:tc>
      </w:tr>
      <w:tr w:rsidR="000A5A07" w:rsidRPr="00751136" w14:paraId="7C1A8EA6" w14:textId="77777777" w:rsidTr="00F963D6">
        <w:tc>
          <w:tcPr>
            <w:tcW w:w="2566" w:type="pct"/>
            <w:vAlign w:val="bottom"/>
          </w:tcPr>
          <w:p w14:paraId="2A1F3A52" w14:textId="77777777" w:rsidR="000A5A07" w:rsidRPr="00751136" w:rsidRDefault="000A5A07" w:rsidP="0003043C">
            <w:pPr>
              <w:pStyle w:val="BodyTextIndent"/>
              <w:ind w:left="-101"/>
              <w:jc w:val="left"/>
              <w:rPr>
                <w:color w:val="auto"/>
                <w:sz w:val="18"/>
                <w:szCs w:val="18"/>
                <w:lang w:val="en-GB"/>
              </w:rPr>
            </w:pPr>
          </w:p>
        </w:tc>
        <w:tc>
          <w:tcPr>
            <w:tcW w:w="584" w:type="pct"/>
          </w:tcPr>
          <w:p w14:paraId="5B88CDDD"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0B0D2440" w14:textId="6DAE8748" w:rsidR="000A5A07" w:rsidRPr="00751136" w:rsidRDefault="000A5A07" w:rsidP="0003043C">
            <w:pPr>
              <w:pStyle w:val="BodyTextIndent"/>
              <w:ind w:left="0" w:right="-72"/>
              <w:jc w:val="right"/>
              <w:rPr>
                <w:color w:val="auto"/>
                <w:sz w:val="18"/>
                <w:szCs w:val="18"/>
              </w:rPr>
            </w:pPr>
          </w:p>
        </w:tc>
        <w:tc>
          <w:tcPr>
            <w:tcW w:w="1004" w:type="pct"/>
            <w:vAlign w:val="center"/>
          </w:tcPr>
          <w:p w14:paraId="1234512B" w14:textId="69FFEC3F"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 xml:space="preserve">the </w:t>
            </w:r>
            <w:r w:rsidR="00FF3AE5" w:rsidRPr="00751136">
              <w:rPr>
                <w:color w:val="auto"/>
                <w:sz w:val="18"/>
                <w:szCs w:val="18"/>
              </w:rPr>
              <w:t>Prospectus</w:t>
            </w:r>
          </w:p>
        </w:tc>
      </w:tr>
      <w:tr w:rsidR="000A5A07" w:rsidRPr="00751136" w14:paraId="504C69FB" w14:textId="77777777" w:rsidTr="00F963D6">
        <w:tc>
          <w:tcPr>
            <w:tcW w:w="2566" w:type="pct"/>
          </w:tcPr>
          <w:p w14:paraId="08852F87" w14:textId="77777777" w:rsidR="000A5A07" w:rsidRPr="00751136" w:rsidRDefault="000A5A07" w:rsidP="0003043C">
            <w:pPr>
              <w:pStyle w:val="BodyTextIndent"/>
              <w:ind w:left="-101"/>
              <w:jc w:val="left"/>
              <w:rPr>
                <w:color w:val="auto"/>
                <w:sz w:val="18"/>
                <w:szCs w:val="18"/>
                <w:lang w:val="en-GB"/>
              </w:rPr>
            </w:pPr>
            <w:r w:rsidRPr="00751136">
              <w:rPr>
                <w:color w:val="auto"/>
                <w:spacing w:val="-4"/>
                <w:sz w:val="18"/>
                <w:szCs w:val="18"/>
                <w:lang w:val="en-GB"/>
              </w:rPr>
              <w:t xml:space="preserve">   Marketing and administrative expenses</w:t>
            </w:r>
          </w:p>
        </w:tc>
        <w:tc>
          <w:tcPr>
            <w:tcW w:w="584" w:type="pct"/>
          </w:tcPr>
          <w:p w14:paraId="21EE80EA" w14:textId="4AF4779B" w:rsidR="000A5A07" w:rsidRPr="00751136" w:rsidRDefault="00480BE1" w:rsidP="0003043C">
            <w:pPr>
              <w:pStyle w:val="BodyTextIndent"/>
              <w:ind w:left="0" w:right="-72"/>
              <w:jc w:val="right"/>
              <w:rPr>
                <w:color w:val="auto"/>
                <w:sz w:val="18"/>
                <w:szCs w:val="18"/>
              </w:rPr>
            </w:pPr>
            <w:r w:rsidRPr="00751136">
              <w:rPr>
                <w:color w:val="auto"/>
                <w:sz w:val="18"/>
                <w:szCs w:val="18"/>
              </w:rPr>
              <w:t>10,608,241</w:t>
            </w:r>
          </w:p>
        </w:tc>
        <w:tc>
          <w:tcPr>
            <w:tcW w:w="847" w:type="pct"/>
            <w:vAlign w:val="bottom"/>
          </w:tcPr>
          <w:p w14:paraId="787D12D3" w14:textId="2A4E891A" w:rsidR="000A5A07" w:rsidRPr="00751136" w:rsidRDefault="000A5A07" w:rsidP="0003043C">
            <w:pPr>
              <w:pStyle w:val="BodyTextIndent"/>
              <w:ind w:left="0" w:right="-72"/>
              <w:jc w:val="right"/>
              <w:rPr>
                <w:color w:val="auto"/>
                <w:sz w:val="18"/>
                <w:szCs w:val="18"/>
              </w:rPr>
            </w:pPr>
            <w:r w:rsidRPr="00751136">
              <w:rPr>
                <w:color w:val="auto"/>
                <w:sz w:val="18"/>
                <w:szCs w:val="18"/>
              </w:rPr>
              <w:t>1,751,980</w:t>
            </w:r>
          </w:p>
        </w:tc>
        <w:tc>
          <w:tcPr>
            <w:tcW w:w="1004" w:type="pct"/>
            <w:vAlign w:val="center"/>
          </w:tcPr>
          <w:p w14:paraId="76DE7C1D" w14:textId="77777777"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Market rate</w:t>
            </w:r>
          </w:p>
        </w:tc>
      </w:tr>
      <w:tr w:rsidR="000A5A07" w:rsidRPr="00751136" w14:paraId="6108C726" w14:textId="77777777" w:rsidTr="00F963D6">
        <w:tc>
          <w:tcPr>
            <w:tcW w:w="2566" w:type="pct"/>
          </w:tcPr>
          <w:p w14:paraId="784B29DA" w14:textId="77777777" w:rsidR="000A5A07" w:rsidRPr="00751136" w:rsidRDefault="000A5A07" w:rsidP="0003043C">
            <w:pPr>
              <w:pStyle w:val="BodyTextIndent"/>
              <w:ind w:left="-101"/>
              <w:jc w:val="left"/>
              <w:rPr>
                <w:color w:val="auto"/>
                <w:spacing w:val="-4"/>
                <w:sz w:val="18"/>
                <w:szCs w:val="18"/>
                <w:lang w:val="en-GB"/>
              </w:rPr>
            </w:pPr>
          </w:p>
        </w:tc>
        <w:tc>
          <w:tcPr>
            <w:tcW w:w="584" w:type="pct"/>
          </w:tcPr>
          <w:p w14:paraId="4EDAB21C"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76918801" w14:textId="55D45C03" w:rsidR="000A5A07" w:rsidRPr="00751136" w:rsidRDefault="000A5A07" w:rsidP="0003043C">
            <w:pPr>
              <w:pStyle w:val="BodyTextIndent"/>
              <w:ind w:left="0" w:right="-72"/>
              <w:jc w:val="right"/>
              <w:rPr>
                <w:color w:val="auto"/>
                <w:sz w:val="18"/>
                <w:szCs w:val="18"/>
              </w:rPr>
            </w:pPr>
          </w:p>
        </w:tc>
        <w:tc>
          <w:tcPr>
            <w:tcW w:w="1004" w:type="pct"/>
            <w:vAlign w:val="center"/>
          </w:tcPr>
          <w:p w14:paraId="481B7949" w14:textId="77777777" w:rsidR="000A5A07" w:rsidRPr="00751136" w:rsidRDefault="000A5A07" w:rsidP="0003043C">
            <w:pPr>
              <w:pStyle w:val="BodyTextIndent"/>
              <w:tabs>
                <w:tab w:val="decimal" w:pos="1325"/>
              </w:tabs>
              <w:ind w:left="0" w:right="-72"/>
              <w:jc w:val="right"/>
              <w:rPr>
                <w:color w:val="auto"/>
                <w:sz w:val="18"/>
                <w:szCs w:val="18"/>
              </w:rPr>
            </w:pPr>
          </w:p>
        </w:tc>
      </w:tr>
      <w:tr w:rsidR="000A5A07" w:rsidRPr="00751136" w14:paraId="4C9DC8E5" w14:textId="77777777" w:rsidTr="00F963D6">
        <w:tc>
          <w:tcPr>
            <w:tcW w:w="2566" w:type="pct"/>
          </w:tcPr>
          <w:p w14:paraId="5D28BE13" w14:textId="31415CD5" w:rsidR="000A5A07" w:rsidRPr="00751136" w:rsidRDefault="000A5A07" w:rsidP="0003043C">
            <w:pPr>
              <w:pStyle w:val="BodyTextIndent"/>
              <w:ind w:left="-101"/>
              <w:jc w:val="left"/>
              <w:rPr>
                <w:color w:val="auto"/>
                <w:spacing w:val="-4"/>
                <w:sz w:val="18"/>
                <w:szCs w:val="18"/>
                <w:lang w:val="en-GB"/>
              </w:rPr>
            </w:pPr>
            <w:proofErr w:type="spellStart"/>
            <w:r w:rsidRPr="00751136">
              <w:rPr>
                <w:color w:val="auto"/>
                <w:spacing w:val="-4"/>
                <w:sz w:val="18"/>
                <w:szCs w:val="18"/>
                <w:lang w:val="en-GB"/>
              </w:rPr>
              <w:t>Krungthai</w:t>
            </w:r>
            <w:proofErr w:type="spellEnd"/>
            <w:r w:rsidRPr="00751136">
              <w:rPr>
                <w:color w:val="auto"/>
                <w:spacing w:val="-4"/>
                <w:sz w:val="18"/>
                <w:szCs w:val="18"/>
                <w:lang w:val="en-GB"/>
              </w:rPr>
              <w:t xml:space="preserve"> Asset Management Public Company Limited</w:t>
            </w:r>
          </w:p>
        </w:tc>
        <w:tc>
          <w:tcPr>
            <w:tcW w:w="584" w:type="pct"/>
          </w:tcPr>
          <w:p w14:paraId="26A1D1B1"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7F10C33A" w14:textId="36EFBFE7" w:rsidR="000A5A07" w:rsidRPr="00751136" w:rsidRDefault="000A5A07" w:rsidP="0003043C">
            <w:pPr>
              <w:pStyle w:val="BodyTextIndent"/>
              <w:ind w:left="0" w:right="-72"/>
              <w:jc w:val="right"/>
              <w:rPr>
                <w:color w:val="auto"/>
                <w:sz w:val="18"/>
                <w:szCs w:val="18"/>
              </w:rPr>
            </w:pPr>
          </w:p>
        </w:tc>
        <w:tc>
          <w:tcPr>
            <w:tcW w:w="1004" w:type="pct"/>
            <w:vAlign w:val="center"/>
          </w:tcPr>
          <w:p w14:paraId="411E9097" w14:textId="77777777" w:rsidR="000A5A07" w:rsidRPr="00751136" w:rsidRDefault="000A5A07" w:rsidP="0003043C">
            <w:pPr>
              <w:pStyle w:val="BodyTextIndent"/>
              <w:tabs>
                <w:tab w:val="decimal" w:pos="1325"/>
              </w:tabs>
              <w:ind w:left="0" w:right="-72"/>
              <w:jc w:val="right"/>
              <w:rPr>
                <w:color w:val="auto"/>
                <w:sz w:val="18"/>
                <w:szCs w:val="18"/>
              </w:rPr>
            </w:pPr>
          </w:p>
        </w:tc>
      </w:tr>
      <w:tr w:rsidR="000A5A07" w:rsidRPr="00751136" w14:paraId="6027FA46" w14:textId="77777777" w:rsidTr="00F963D6">
        <w:tc>
          <w:tcPr>
            <w:tcW w:w="2566" w:type="pct"/>
          </w:tcPr>
          <w:p w14:paraId="1504BC26" w14:textId="52A9A81F" w:rsidR="000A5A07" w:rsidRPr="00751136" w:rsidRDefault="000A5A07" w:rsidP="0003043C">
            <w:pPr>
              <w:pStyle w:val="BodyTextIndent"/>
              <w:ind w:left="-101"/>
              <w:jc w:val="left"/>
              <w:rPr>
                <w:color w:val="auto"/>
                <w:spacing w:val="-4"/>
                <w:sz w:val="18"/>
                <w:szCs w:val="18"/>
                <w:lang w:val="en-GB"/>
              </w:rPr>
            </w:pPr>
            <w:r w:rsidRPr="00751136">
              <w:rPr>
                <w:color w:val="auto"/>
                <w:spacing w:val="-4"/>
                <w:sz w:val="18"/>
                <w:szCs w:val="18"/>
                <w:lang w:val="en-GB"/>
              </w:rPr>
              <w:t xml:space="preserve">   Trustee fee</w:t>
            </w:r>
          </w:p>
        </w:tc>
        <w:tc>
          <w:tcPr>
            <w:tcW w:w="584" w:type="pct"/>
          </w:tcPr>
          <w:p w14:paraId="0AE07C6D" w14:textId="1BDE0D8C" w:rsidR="000A5A07" w:rsidRPr="00751136" w:rsidRDefault="00480BE1" w:rsidP="0003043C">
            <w:pPr>
              <w:pStyle w:val="BodyTextIndent"/>
              <w:ind w:left="0" w:right="-72"/>
              <w:jc w:val="right"/>
              <w:rPr>
                <w:color w:val="auto"/>
                <w:sz w:val="18"/>
                <w:szCs w:val="18"/>
              </w:rPr>
            </w:pPr>
            <w:r w:rsidRPr="00751136">
              <w:rPr>
                <w:color w:val="auto"/>
                <w:sz w:val="18"/>
                <w:szCs w:val="18"/>
              </w:rPr>
              <w:t>5,229,635</w:t>
            </w:r>
          </w:p>
        </w:tc>
        <w:tc>
          <w:tcPr>
            <w:tcW w:w="847" w:type="pct"/>
            <w:vAlign w:val="bottom"/>
          </w:tcPr>
          <w:p w14:paraId="71B2AD4E" w14:textId="28F645CC" w:rsidR="000A5A07" w:rsidRPr="00751136" w:rsidRDefault="000A5A07" w:rsidP="0003043C">
            <w:pPr>
              <w:pStyle w:val="BodyTextIndent"/>
              <w:ind w:left="0" w:right="-72"/>
              <w:jc w:val="right"/>
              <w:rPr>
                <w:color w:val="auto"/>
                <w:sz w:val="18"/>
                <w:szCs w:val="18"/>
              </w:rPr>
            </w:pPr>
            <w:r w:rsidRPr="00751136">
              <w:rPr>
                <w:color w:val="auto"/>
                <w:sz w:val="18"/>
                <w:szCs w:val="18"/>
              </w:rPr>
              <w:t>1,307,409</w:t>
            </w:r>
          </w:p>
        </w:tc>
        <w:tc>
          <w:tcPr>
            <w:tcW w:w="1004" w:type="pct"/>
            <w:vAlign w:val="center"/>
          </w:tcPr>
          <w:p w14:paraId="6EAF8FAE" w14:textId="373D3562"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In accordance with</w:t>
            </w:r>
          </w:p>
        </w:tc>
      </w:tr>
      <w:tr w:rsidR="000A5A07" w:rsidRPr="00751136" w14:paraId="7EC845D8" w14:textId="77777777" w:rsidTr="00F963D6">
        <w:tc>
          <w:tcPr>
            <w:tcW w:w="2566" w:type="pct"/>
          </w:tcPr>
          <w:p w14:paraId="31089B4C" w14:textId="1037BE29" w:rsidR="000A5A07" w:rsidRPr="00751136" w:rsidRDefault="000A5A07" w:rsidP="0003043C">
            <w:pPr>
              <w:pStyle w:val="BodyTextIndent"/>
              <w:ind w:left="-101"/>
              <w:jc w:val="left"/>
              <w:rPr>
                <w:color w:val="auto"/>
                <w:spacing w:val="-4"/>
                <w:sz w:val="18"/>
                <w:szCs w:val="18"/>
                <w:lang w:val="en-GB"/>
              </w:rPr>
            </w:pPr>
          </w:p>
        </w:tc>
        <w:tc>
          <w:tcPr>
            <w:tcW w:w="584" w:type="pct"/>
          </w:tcPr>
          <w:p w14:paraId="10B6296F"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323A7EF6" w14:textId="611228DA" w:rsidR="000A5A07" w:rsidRPr="00751136" w:rsidRDefault="000A5A07" w:rsidP="0003043C">
            <w:pPr>
              <w:pStyle w:val="BodyTextIndent"/>
              <w:ind w:left="0" w:right="-72"/>
              <w:jc w:val="right"/>
              <w:rPr>
                <w:color w:val="auto"/>
                <w:sz w:val="18"/>
                <w:szCs w:val="18"/>
              </w:rPr>
            </w:pPr>
          </w:p>
        </w:tc>
        <w:tc>
          <w:tcPr>
            <w:tcW w:w="1004" w:type="pct"/>
            <w:vAlign w:val="center"/>
          </w:tcPr>
          <w:p w14:paraId="092580BB" w14:textId="2726D9AE"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the Trust Deed</w:t>
            </w:r>
          </w:p>
        </w:tc>
      </w:tr>
      <w:tr w:rsidR="000A5A07" w:rsidRPr="00751136" w14:paraId="1E77DCBE" w14:textId="77777777" w:rsidTr="00F963D6">
        <w:tc>
          <w:tcPr>
            <w:tcW w:w="2566" w:type="pct"/>
          </w:tcPr>
          <w:p w14:paraId="4BE6C6B4" w14:textId="77777777" w:rsidR="000A5A07" w:rsidRPr="00751136" w:rsidRDefault="000A5A07" w:rsidP="0003043C">
            <w:pPr>
              <w:pStyle w:val="BodyTextIndent"/>
              <w:ind w:left="-101"/>
              <w:jc w:val="left"/>
              <w:rPr>
                <w:color w:val="auto"/>
                <w:spacing w:val="-4"/>
                <w:sz w:val="18"/>
                <w:szCs w:val="18"/>
                <w:lang w:val="en-GB"/>
              </w:rPr>
            </w:pPr>
          </w:p>
        </w:tc>
        <w:tc>
          <w:tcPr>
            <w:tcW w:w="584" w:type="pct"/>
          </w:tcPr>
          <w:p w14:paraId="055A3281"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6F61C26D" w14:textId="376052ED" w:rsidR="000A5A07" w:rsidRPr="00751136" w:rsidRDefault="000A5A07" w:rsidP="0003043C">
            <w:pPr>
              <w:pStyle w:val="BodyTextIndent"/>
              <w:ind w:left="0" w:right="-72"/>
              <w:jc w:val="right"/>
              <w:rPr>
                <w:color w:val="auto"/>
                <w:sz w:val="18"/>
                <w:szCs w:val="18"/>
              </w:rPr>
            </w:pPr>
          </w:p>
        </w:tc>
        <w:tc>
          <w:tcPr>
            <w:tcW w:w="1004" w:type="pct"/>
            <w:vAlign w:val="center"/>
          </w:tcPr>
          <w:p w14:paraId="2BA9719A" w14:textId="77777777" w:rsidR="000A5A07" w:rsidRPr="00751136" w:rsidRDefault="000A5A07" w:rsidP="0003043C">
            <w:pPr>
              <w:pStyle w:val="BodyTextIndent"/>
              <w:tabs>
                <w:tab w:val="decimal" w:pos="1325"/>
              </w:tabs>
              <w:ind w:left="0" w:right="-72"/>
              <w:jc w:val="right"/>
              <w:rPr>
                <w:color w:val="auto"/>
                <w:sz w:val="18"/>
                <w:szCs w:val="18"/>
              </w:rPr>
            </w:pPr>
          </w:p>
        </w:tc>
      </w:tr>
      <w:tr w:rsidR="000A5A07" w:rsidRPr="00751136" w14:paraId="50AFBB50" w14:textId="77777777" w:rsidTr="00F963D6">
        <w:tc>
          <w:tcPr>
            <w:tcW w:w="2566" w:type="pct"/>
          </w:tcPr>
          <w:p w14:paraId="7697587E" w14:textId="1925875D" w:rsidR="000A5A07" w:rsidRPr="00751136" w:rsidRDefault="000A5A07" w:rsidP="0003043C">
            <w:pPr>
              <w:pStyle w:val="BodyTextIndent"/>
              <w:ind w:left="-101"/>
              <w:jc w:val="left"/>
              <w:rPr>
                <w:color w:val="auto"/>
                <w:sz w:val="18"/>
                <w:szCs w:val="18"/>
                <w:lang w:val="en-GB"/>
              </w:rPr>
            </w:pPr>
            <w:r w:rsidRPr="00751136">
              <w:rPr>
                <w:color w:val="auto"/>
                <w:sz w:val="18"/>
                <w:szCs w:val="18"/>
                <w:lang w:val="en-GB"/>
              </w:rPr>
              <w:t>BBL Asset Management Company Limited</w:t>
            </w:r>
          </w:p>
        </w:tc>
        <w:tc>
          <w:tcPr>
            <w:tcW w:w="584" w:type="pct"/>
          </w:tcPr>
          <w:p w14:paraId="51F26AE5"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272AD7BB" w14:textId="7050419F" w:rsidR="000A5A07" w:rsidRPr="00751136" w:rsidRDefault="000A5A07" w:rsidP="0003043C">
            <w:pPr>
              <w:pStyle w:val="BodyTextIndent"/>
              <w:ind w:left="0" w:right="-72"/>
              <w:jc w:val="right"/>
              <w:rPr>
                <w:color w:val="auto"/>
                <w:sz w:val="18"/>
                <w:szCs w:val="18"/>
              </w:rPr>
            </w:pPr>
          </w:p>
        </w:tc>
        <w:tc>
          <w:tcPr>
            <w:tcW w:w="1004" w:type="pct"/>
            <w:vAlign w:val="center"/>
          </w:tcPr>
          <w:p w14:paraId="31A2E173" w14:textId="77777777" w:rsidR="000A5A07" w:rsidRPr="00751136" w:rsidRDefault="000A5A07" w:rsidP="0003043C">
            <w:pPr>
              <w:pStyle w:val="BodyTextIndent"/>
              <w:tabs>
                <w:tab w:val="decimal" w:pos="1325"/>
              </w:tabs>
              <w:ind w:left="540" w:right="-72"/>
              <w:jc w:val="right"/>
              <w:rPr>
                <w:color w:val="auto"/>
                <w:spacing w:val="-4"/>
                <w:sz w:val="18"/>
                <w:szCs w:val="18"/>
                <w:lang w:val="en-GB"/>
              </w:rPr>
            </w:pPr>
          </w:p>
        </w:tc>
      </w:tr>
      <w:tr w:rsidR="000A5A07" w:rsidRPr="00751136" w14:paraId="0BB708A4" w14:textId="77777777" w:rsidTr="00F963D6">
        <w:tc>
          <w:tcPr>
            <w:tcW w:w="2566" w:type="pct"/>
          </w:tcPr>
          <w:p w14:paraId="4AA926F1" w14:textId="785A1592" w:rsidR="000A5A07" w:rsidRPr="00751136" w:rsidRDefault="000A5A07" w:rsidP="0003043C">
            <w:pPr>
              <w:pStyle w:val="BodyTextIndent"/>
              <w:ind w:left="-101"/>
              <w:jc w:val="left"/>
              <w:rPr>
                <w:color w:val="auto"/>
                <w:sz w:val="18"/>
                <w:szCs w:val="18"/>
                <w:lang w:val="en-GB"/>
              </w:rPr>
            </w:pPr>
            <w:r w:rsidRPr="00751136">
              <w:rPr>
                <w:color w:val="auto"/>
                <w:sz w:val="18"/>
                <w:szCs w:val="18"/>
                <w:lang w:val="en-GB"/>
              </w:rPr>
              <w:t xml:space="preserve">   Management fee</w:t>
            </w:r>
          </w:p>
        </w:tc>
        <w:tc>
          <w:tcPr>
            <w:tcW w:w="584" w:type="pct"/>
          </w:tcPr>
          <w:p w14:paraId="619CD867" w14:textId="5DF4FB88" w:rsidR="000A5A07" w:rsidRPr="00751136" w:rsidRDefault="00480BE1" w:rsidP="0003043C">
            <w:pPr>
              <w:pStyle w:val="BodyTextIndent"/>
              <w:ind w:left="0" w:right="-72"/>
              <w:jc w:val="right"/>
              <w:rPr>
                <w:color w:val="auto"/>
                <w:sz w:val="18"/>
                <w:szCs w:val="18"/>
              </w:rPr>
            </w:pPr>
            <w:r w:rsidRPr="00751136">
              <w:rPr>
                <w:color w:val="auto"/>
                <w:sz w:val="18"/>
                <w:szCs w:val="18"/>
              </w:rPr>
              <w:t>7,452,230</w:t>
            </w:r>
          </w:p>
        </w:tc>
        <w:tc>
          <w:tcPr>
            <w:tcW w:w="847" w:type="pct"/>
            <w:vAlign w:val="bottom"/>
          </w:tcPr>
          <w:p w14:paraId="5647BCFF" w14:textId="5BFBB007" w:rsidR="000A5A07" w:rsidRPr="00751136" w:rsidRDefault="000A5A07" w:rsidP="0003043C">
            <w:pPr>
              <w:pStyle w:val="BodyTextIndent"/>
              <w:ind w:left="0" w:right="-72"/>
              <w:jc w:val="right"/>
              <w:rPr>
                <w:color w:val="auto"/>
                <w:sz w:val="18"/>
                <w:szCs w:val="18"/>
              </w:rPr>
            </w:pPr>
            <w:r w:rsidRPr="00751136">
              <w:rPr>
                <w:color w:val="auto"/>
                <w:sz w:val="18"/>
                <w:szCs w:val="18"/>
              </w:rPr>
              <w:t>1,830,372</w:t>
            </w:r>
          </w:p>
        </w:tc>
        <w:tc>
          <w:tcPr>
            <w:tcW w:w="1004" w:type="pct"/>
            <w:vAlign w:val="center"/>
          </w:tcPr>
          <w:p w14:paraId="192A6D7D" w14:textId="1BDA20A8"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In accordance with</w:t>
            </w:r>
          </w:p>
        </w:tc>
      </w:tr>
      <w:tr w:rsidR="000A5A07" w:rsidRPr="00751136" w14:paraId="7B30B519" w14:textId="77777777" w:rsidTr="00F963D6">
        <w:tc>
          <w:tcPr>
            <w:tcW w:w="2566" w:type="pct"/>
          </w:tcPr>
          <w:p w14:paraId="16810D05" w14:textId="77777777" w:rsidR="000A5A07" w:rsidRPr="00751136" w:rsidRDefault="000A5A07" w:rsidP="0003043C">
            <w:pPr>
              <w:pStyle w:val="BodyTextIndent"/>
              <w:ind w:left="-101"/>
              <w:jc w:val="left"/>
              <w:rPr>
                <w:color w:val="auto"/>
                <w:sz w:val="18"/>
                <w:szCs w:val="18"/>
                <w:lang w:val="en-GB"/>
              </w:rPr>
            </w:pPr>
          </w:p>
        </w:tc>
        <w:tc>
          <w:tcPr>
            <w:tcW w:w="584" w:type="pct"/>
          </w:tcPr>
          <w:p w14:paraId="42CA64DE" w14:textId="77777777" w:rsidR="000A5A07" w:rsidRPr="00751136" w:rsidRDefault="000A5A07" w:rsidP="0003043C">
            <w:pPr>
              <w:pStyle w:val="BodyTextIndent"/>
              <w:ind w:left="0" w:right="-72"/>
              <w:jc w:val="right"/>
              <w:rPr>
                <w:color w:val="auto"/>
                <w:sz w:val="18"/>
                <w:szCs w:val="18"/>
              </w:rPr>
            </w:pPr>
          </w:p>
        </w:tc>
        <w:tc>
          <w:tcPr>
            <w:tcW w:w="847" w:type="pct"/>
            <w:vAlign w:val="bottom"/>
          </w:tcPr>
          <w:p w14:paraId="6FDD27F2" w14:textId="5926DBC8" w:rsidR="000A5A07" w:rsidRPr="00751136" w:rsidRDefault="000A5A07" w:rsidP="0003043C">
            <w:pPr>
              <w:pStyle w:val="BodyTextIndent"/>
              <w:ind w:left="0" w:right="-72"/>
              <w:jc w:val="right"/>
              <w:rPr>
                <w:color w:val="auto"/>
                <w:sz w:val="18"/>
                <w:szCs w:val="18"/>
              </w:rPr>
            </w:pPr>
          </w:p>
        </w:tc>
        <w:tc>
          <w:tcPr>
            <w:tcW w:w="1004" w:type="pct"/>
            <w:vAlign w:val="center"/>
          </w:tcPr>
          <w:p w14:paraId="1252526C" w14:textId="5E8C1ECA" w:rsidR="000A5A07" w:rsidRPr="00751136" w:rsidRDefault="000A5A07" w:rsidP="0003043C">
            <w:pPr>
              <w:pStyle w:val="BodyTextIndent"/>
              <w:tabs>
                <w:tab w:val="decimal" w:pos="1325"/>
              </w:tabs>
              <w:ind w:left="0" w:right="-72"/>
              <w:jc w:val="right"/>
              <w:rPr>
                <w:color w:val="auto"/>
                <w:sz w:val="18"/>
                <w:szCs w:val="18"/>
              </w:rPr>
            </w:pPr>
            <w:r w:rsidRPr="00751136">
              <w:rPr>
                <w:color w:val="auto"/>
                <w:sz w:val="18"/>
                <w:szCs w:val="18"/>
              </w:rPr>
              <w:t>the Trust Deed</w:t>
            </w:r>
          </w:p>
        </w:tc>
      </w:tr>
      <w:bookmarkEnd w:id="9"/>
      <w:bookmarkEnd w:id="10"/>
    </w:tbl>
    <w:p w14:paraId="16B80784" w14:textId="058DC787" w:rsidR="00052359" w:rsidRPr="00751136" w:rsidRDefault="00052359" w:rsidP="0003043C">
      <w:pPr>
        <w:pStyle w:val="BodyTextIndent"/>
        <w:ind w:left="0"/>
        <w:rPr>
          <w:color w:val="auto"/>
          <w:spacing w:val="-4"/>
          <w:szCs w:val="20"/>
        </w:rPr>
      </w:pPr>
    </w:p>
    <w:p w14:paraId="10FA5C1B" w14:textId="21DE9BA0" w:rsidR="00FF4CE5" w:rsidRPr="00751136" w:rsidRDefault="005A50C1" w:rsidP="0003043C">
      <w:pPr>
        <w:rPr>
          <w:color w:val="auto"/>
          <w:spacing w:val="-4"/>
        </w:rPr>
      </w:pPr>
      <w:r w:rsidRPr="00751136">
        <w:rPr>
          <w:color w:val="auto"/>
          <w:spacing w:val="-4"/>
        </w:rPr>
        <w:t xml:space="preserve">As </w:t>
      </w:r>
      <w:proofErr w:type="gramStart"/>
      <w:r w:rsidRPr="00751136">
        <w:rPr>
          <w:color w:val="auto"/>
          <w:spacing w:val="-4"/>
        </w:rPr>
        <w:t>at</w:t>
      </w:r>
      <w:proofErr w:type="gramEnd"/>
      <w:r w:rsidRPr="00751136">
        <w:rPr>
          <w:color w:val="auto"/>
          <w:spacing w:val="-4"/>
        </w:rPr>
        <w:t xml:space="preserve"> </w:t>
      </w:r>
      <w:r w:rsidR="001659E8" w:rsidRPr="00751136">
        <w:rPr>
          <w:color w:val="auto"/>
          <w:spacing w:val="-4"/>
          <w:lang w:val="en-GB"/>
        </w:rPr>
        <w:t>31</w:t>
      </w:r>
      <w:r w:rsidR="00B705CB" w:rsidRPr="00751136">
        <w:rPr>
          <w:color w:val="auto"/>
          <w:spacing w:val="-4"/>
        </w:rPr>
        <w:t xml:space="preserve"> Dec</w:t>
      </w:r>
      <w:r w:rsidR="003D6256" w:rsidRPr="00751136">
        <w:rPr>
          <w:color w:val="auto"/>
          <w:spacing w:val="-4"/>
        </w:rPr>
        <w:t>ember</w:t>
      </w:r>
      <w:r w:rsidRPr="00751136">
        <w:rPr>
          <w:color w:val="auto"/>
          <w:spacing w:val="-4"/>
        </w:rPr>
        <w:t xml:space="preserve"> </w:t>
      </w:r>
      <w:r w:rsidR="000A5A07" w:rsidRPr="00751136">
        <w:rPr>
          <w:color w:val="auto"/>
          <w:spacing w:val="-4"/>
        </w:rPr>
        <w:t xml:space="preserve">2025 and </w:t>
      </w:r>
      <w:r w:rsidR="00E553D2" w:rsidRPr="00751136">
        <w:rPr>
          <w:color w:val="auto"/>
          <w:spacing w:val="-4"/>
          <w:lang w:val="en-GB"/>
        </w:rPr>
        <w:t>202</w:t>
      </w:r>
      <w:r w:rsidR="00D8276A" w:rsidRPr="00751136">
        <w:rPr>
          <w:color w:val="auto"/>
          <w:spacing w:val="-4"/>
          <w:lang w:val="en-GB"/>
        </w:rPr>
        <w:t>4</w:t>
      </w:r>
      <w:r w:rsidRPr="00751136">
        <w:rPr>
          <w:color w:val="auto"/>
          <w:spacing w:val="-4"/>
        </w:rPr>
        <w:t xml:space="preserve">, the </w:t>
      </w:r>
      <w:r w:rsidR="00D8276A" w:rsidRPr="00751136">
        <w:rPr>
          <w:color w:val="auto"/>
          <w:spacing w:val="-4"/>
        </w:rPr>
        <w:t>Trust</w:t>
      </w:r>
      <w:r w:rsidRPr="00751136">
        <w:rPr>
          <w:color w:val="auto"/>
          <w:spacing w:val="-4"/>
        </w:rPr>
        <w:t xml:space="preserve"> had outstanding</w:t>
      </w:r>
      <w:r w:rsidR="00FF4CE5" w:rsidRPr="00751136">
        <w:rPr>
          <w:color w:val="auto"/>
          <w:spacing w:val="-4"/>
        </w:rPr>
        <w:t xml:space="preserve"> </w:t>
      </w:r>
      <w:proofErr w:type="gramStart"/>
      <w:r w:rsidR="00FF4CE5" w:rsidRPr="00751136">
        <w:rPr>
          <w:color w:val="auto"/>
          <w:spacing w:val="-4"/>
        </w:rPr>
        <w:t>significant</w:t>
      </w:r>
      <w:proofErr w:type="gramEnd"/>
      <w:r w:rsidRPr="00751136">
        <w:rPr>
          <w:color w:val="auto"/>
          <w:spacing w:val="-4"/>
        </w:rPr>
        <w:t xml:space="preserve"> </w:t>
      </w:r>
      <w:r w:rsidR="00FF4CE5" w:rsidRPr="00751136">
        <w:rPr>
          <w:color w:val="auto"/>
          <w:spacing w:val="-4"/>
        </w:rPr>
        <w:t>related party balance as follows:</w:t>
      </w:r>
      <w:bookmarkEnd w:id="0"/>
    </w:p>
    <w:p w14:paraId="0A111206" w14:textId="77777777" w:rsidR="00A8330C" w:rsidRPr="00751136" w:rsidRDefault="00A8330C" w:rsidP="0003043C">
      <w:pPr>
        <w:pStyle w:val="BodyTextIndent"/>
        <w:ind w:left="0"/>
        <w:rPr>
          <w:color w:val="auto"/>
          <w:szCs w:val="20"/>
        </w:rPr>
      </w:pPr>
    </w:p>
    <w:tbl>
      <w:tblPr>
        <w:tblW w:w="9045" w:type="dxa"/>
        <w:tblInd w:w="108" w:type="dxa"/>
        <w:tblLayout w:type="fixed"/>
        <w:tblLook w:val="0000" w:firstRow="0" w:lastRow="0" w:firstColumn="0" w:lastColumn="0" w:noHBand="0" w:noVBand="0"/>
      </w:tblPr>
      <w:tblGrid>
        <w:gridCol w:w="6165"/>
        <w:gridCol w:w="1440"/>
        <w:gridCol w:w="1440"/>
      </w:tblGrid>
      <w:tr w:rsidR="000A5A07" w:rsidRPr="00751136" w14:paraId="6F8B9789" w14:textId="0F6D6D8F" w:rsidTr="002C759A">
        <w:tc>
          <w:tcPr>
            <w:tcW w:w="6165" w:type="dxa"/>
            <w:vAlign w:val="bottom"/>
          </w:tcPr>
          <w:p w14:paraId="7C81D55D" w14:textId="77777777" w:rsidR="000A5A07" w:rsidRPr="00751136" w:rsidRDefault="000A5A07" w:rsidP="0003043C">
            <w:pPr>
              <w:pStyle w:val="BodyTextIndent"/>
              <w:ind w:left="-101"/>
              <w:jc w:val="left"/>
              <w:rPr>
                <w:color w:val="auto"/>
                <w:szCs w:val="20"/>
                <w:lang w:val="en-GB"/>
              </w:rPr>
            </w:pPr>
          </w:p>
        </w:tc>
        <w:tc>
          <w:tcPr>
            <w:tcW w:w="1440" w:type="dxa"/>
            <w:vAlign w:val="bottom"/>
          </w:tcPr>
          <w:p w14:paraId="135B2469" w14:textId="7722C1F1" w:rsidR="000A5A07" w:rsidRPr="00751136" w:rsidRDefault="000A5A07" w:rsidP="0003043C">
            <w:pPr>
              <w:pStyle w:val="BodyTextIndent"/>
              <w:ind w:left="0" w:right="-72"/>
              <w:jc w:val="right"/>
              <w:rPr>
                <w:b/>
                <w:bCs/>
                <w:color w:val="auto"/>
                <w:szCs w:val="20"/>
                <w:lang w:val="en-GB"/>
              </w:rPr>
            </w:pPr>
            <w:r w:rsidRPr="00751136">
              <w:rPr>
                <w:b/>
                <w:bCs/>
                <w:color w:val="auto"/>
                <w:szCs w:val="20"/>
                <w:lang w:val="en-GB"/>
              </w:rPr>
              <w:t>2025</w:t>
            </w:r>
          </w:p>
        </w:tc>
        <w:tc>
          <w:tcPr>
            <w:tcW w:w="1440" w:type="dxa"/>
            <w:vAlign w:val="bottom"/>
          </w:tcPr>
          <w:p w14:paraId="7C3099DC" w14:textId="63356B1D" w:rsidR="000A5A07" w:rsidRPr="00751136" w:rsidRDefault="000A5A07" w:rsidP="0003043C">
            <w:pPr>
              <w:pStyle w:val="BodyTextIndent"/>
              <w:ind w:left="0" w:right="-72"/>
              <w:jc w:val="right"/>
              <w:rPr>
                <w:b/>
                <w:bCs/>
                <w:color w:val="auto"/>
                <w:szCs w:val="20"/>
              </w:rPr>
            </w:pPr>
            <w:r w:rsidRPr="00751136">
              <w:rPr>
                <w:b/>
                <w:bCs/>
                <w:color w:val="auto"/>
                <w:szCs w:val="20"/>
                <w:lang w:val="en-GB"/>
              </w:rPr>
              <w:t>2024</w:t>
            </w:r>
          </w:p>
        </w:tc>
      </w:tr>
      <w:tr w:rsidR="000A5A07" w:rsidRPr="00751136" w14:paraId="193E6069" w14:textId="447B8EDA" w:rsidTr="002C759A">
        <w:tc>
          <w:tcPr>
            <w:tcW w:w="6165" w:type="dxa"/>
            <w:vAlign w:val="bottom"/>
          </w:tcPr>
          <w:p w14:paraId="59416478" w14:textId="77777777" w:rsidR="000A5A07" w:rsidRPr="00751136" w:rsidRDefault="000A5A07" w:rsidP="0003043C">
            <w:pPr>
              <w:pStyle w:val="BodyTextIndent"/>
              <w:ind w:left="-101"/>
              <w:jc w:val="left"/>
              <w:rPr>
                <w:color w:val="auto"/>
                <w:szCs w:val="20"/>
                <w:lang w:val="en-GB"/>
              </w:rPr>
            </w:pPr>
          </w:p>
        </w:tc>
        <w:tc>
          <w:tcPr>
            <w:tcW w:w="1440" w:type="dxa"/>
            <w:tcBorders>
              <w:bottom w:val="single" w:sz="4" w:space="0" w:color="auto"/>
            </w:tcBorders>
            <w:vAlign w:val="bottom"/>
          </w:tcPr>
          <w:p w14:paraId="04A6217B" w14:textId="0B7738E2" w:rsidR="000A5A07" w:rsidRPr="00751136" w:rsidRDefault="000A5A07" w:rsidP="0003043C">
            <w:pPr>
              <w:pStyle w:val="BodyTextIndent"/>
              <w:ind w:left="0" w:right="-72"/>
              <w:jc w:val="right"/>
              <w:rPr>
                <w:b/>
                <w:bCs/>
                <w:color w:val="auto"/>
                <w:szCs w:val="20"/>
                <w:lang w:val="en-GB"/>
              </w:rPr>
            </w:pPr>
            <w:r w:rsidRPr="00751136">
              <w:rPr>
                <w:b/>
                <w:bCs/>
                <w:color w:val="auto"/>
                <w:szCs w:val="20"/>
              </w:rPr>
              <w:t>Baht</w:t>
            </w:r>
          </w:p>
        </w:tc>
        <w:tc>
          <w:tcPr>
            <w:tcW w:w="1440" w:type="dxa"/>
            <w:tcBorders>
              <w:bottom w:val="single" w:sz="4" w:space="0" w:color="auto"/>
            </w:tcBorders>
            <w:vAlign w:val="bottom"/>
          </w:tcPr>
          <w:p w14:paraId="02873D11" w14:textId="2A9080B3" w:rsidR="000A5A07" w:rsidRPr="00751136" w:rsidRDefault="000A5A07" w:rsidP="0003043C">
            <w:pPr>
              <w:pStyle w:val="BodyTextIndent"/>
              <w:ind w:left="0" w:right="-72"/>
              <w:jc w:val="right"/>
              <w:rPr>
                <w:b/>
                <w:bCs/>
                <w:color w:val="auto"/>
                <w:szCs w:val="20"/>
                <w:lang w:val="en-GB"/>
              </w:rPr>
            </w:pPr>
            <w:r w:rsidRPr="00751136">
              <w:rPr>
                <w:b/>
                <w:bCs/>
                <w:color w:val="auto"/>
                <w:szCs w:val="20"/>
                <w:lang w:val="en-GB"/>
              </w:rPr>
              <w:t>Baht</w:t>
            </w:r>
          </w:p>
        </w:tc>
      </w:tr>
      <w:tr w:rsidR="000A5A07" w:rsidRPr="00751136" w14:paraId="4E1761E2" w14:textId="29C989FB" w:rsidTr="002C759A">
        <w:tc>
          <w:tcPr>
            <w:tcW w:w="6165" w:type="dxa"/>
            <w:vAlign w:val="bottom"/>
          </w:tcPr>
          <w:p w14:paraId="09056E92" w14:textId="77777777" w:rsidR="000A5A07" w:rsidRPr="00751136" w:rsidRDefault="000A5A07" w:rsidP="0003043C">
            <w:pPr>
              <w:pStyle w:val="BodyTextIndent"/>
              <w:ind w:left="-101"/>
              <w:jc w:val="left"/>
              <w:rPr>
                <w:color w:val="auto"/>
                <w:szCs w:val="20"/>
                <w:lang w:val="en-GB"/>
              </w:rPr>
            </w:pPr>
          </w:p>
        </w:tc>
        <w:tc>
          <w:tcPr>
            <w:tcW w:w="1440" w:type="dxa"/>
            <w:tcBorders>
              <w:top w:val="single" w:sz="4" w:space="0" w:color="auto"/>
            </w:tcBorders>
          </w:tcPr>
          <w:p w14:paraId="0140CDCD" w14:textId="77777777" w:rsidR="000A5A07" w:rsidRPr="00751136" w:rsidRDefault="000A5A07" w:rsidP="0003043C">
            <w:pPr>
              <w:pStyle w:val="BodyTextIndent"/>
              <w:ind w:left="0" w:right="-72"/>
              <w:jc w:val="right"/>
              <w:rPr>
                <w:color w:val="auto"/>
                <w:szCs w:val="20"/>
              </w:rPr>
            </w:pPr>
          </w:p>
        </w:tc>
        <w:tc>
          <w:tcPr>
            <w:tcW w:w="1440" w:type="dxa"/>
            <w:tcBorders>
              <w:top w:val="single" w:sz="4" w:space="0" w:color="auto"/>
            </w:tcBorders>
            <w:vAlign w:val="bottom"/>
          </w:tcPr>
          <w:p w14:paraId="4474C0DB" w14:textId="745F25FA" w:rsidR="000A5A07" w:rsidRPr="00751136" w:rsidRDefault="000A5A07" w:rsidP="0003043C">
            <w:pPr>
              <w:pStyle w:val="BodyTextIndent"/>
              <w:ind w:left="0" w:right="-72"/>
              <w:jc w:val="right"/>
              <w:rPr>
                <w:color w:val="auto"/>
                <w:szCs w:val="20"/>
              </w:rPr>
            </w:pPr>
          </w:p>
        </w:tc>
      </w:tr>
      <w:tr w:rsidR="000A5A07" w:rsidRPr="00751136" w14:paraId="33A3EEDA" w14:textId="4674F1A2" w:rsidTr="000A5A07">
        <w:tc>
          <w:tcPr>
            <w:tcW w:w="6165" w:type="dxa"/>
            <w:vAlign w:val="bottom"/>
          </w:tcPr>
          <w:p w14:paraId="7212EA26" w14:textId="3F660969" w:rsidR="000A5A07" w:rsidRPr="00751136" w:rsidRDefault="000A5A07" w:rsidP="0003043C">
            <w:pPr>
              <w:pStyle w:val="BodyTextIndent"/>
              <w:ind w:left="-101"/>
              <w:jc w:val="left"/>
              <w:rPr>
                <w:color w:val="auto"/>
                <w:szCs w:val="20"/>
                <w:cs/>
                <w:lang w:val="en-GB"/>
              </w:rPr>
            </w:pPr>
            <w:bookmarkStart w:id="11" w:name="OLE_LINK8"/>
            <w:proofErr w:type="spellStart"/>
            <w:r w:rsidRPr="00751136">
              <w:rPr>
                <w:color w:val="auto"/>
                <w:szCs w:val="20"/>
                <w:lang w:val="en-GB"/>
              </w:rPr>
              <w:t>Rangsit</w:t>
            </w:r>
            <w:proofErr w:type="spellEnd"/>
            <w:r w:rsidRPr="00751136">
              <w:rPr>
                <w:color w:val="auto"/>
                <w:szCs w:val="20"/>
                <w:lang w:val="en-GB"/>
              </w:rPr>
              <w:t xml:space="preserve"> Plaza Company Limited </w:t>
            </w:r>
          </w:p>
        </w:tc>
        <w:tc>
          <w:tcPr>
            <w:tcW w:w="1440" w:type="dxa"/>
          </w:tcPr>
          <w:p w14:paraId="334F41BA" w14:textId="77777777" w:rsidR="000A5A07" w:rsidRPr="00751136" w:rsidRDefault="000A5A07" w:rsidP="0003043C">
            <w:pPr>
              <w:pStyle w:val="BodyTextIndent"/>
              <w:ind w:left="0" w:right="-72"/>
              <w:jc w:val="right"/>
              <w:rPr>
                <w:color w:val="auto"/>
                <w:szCs w:val="20"/>
              </w:rPr>
            </w:pPr>
          </w:p>
        </w:tc>
        <w:tc>
          <w:tcPr>
            <w:tcW w:w="1440" w:type="dxa"/>
            <w:vAlign w:val="bottom"/>
          </w:tcPr>
          <w:p w14:paraId="52C03AFD" w14:textId="2E23ED31" w:rsidR="000A5A07" w:rsidRPr="00751136" w:rsidRDefault="000A5A07" w:rsidP="0003043C">
            <w:pPr>
              <w:pStyle w:val="BodyTextIndent"/>
              <w:ind w:left="0" w:right="-72"/>
              <w:jc w:val="right"/>
              <w:rPr>
                <w:color w:val="auto"/>
                <w:szCs w:val="20"/>
              </w:rPr>
            </w:pPr>
          </w:p>
        </w:tc>
      </w:tr>
      <w:tr w:rsidR="00E24AAD" w:rsidRPr="00751136" w14:paraId="105C536D" w14:textId="77777777" w:rsidTr="000A5A07">
        <w:tc>
          <w:tcPr>
            <w:tcW w:w="6165" w:type="dxa"/>
            <w:vAlign w:val="bottom"/>
          </w:tcPr>
          <w:p w14:paraId="3B958E88" w14:textId="3FE7EC6E" w:rsidR="00E24AAD" w:rsidRPr="00751136" w:rsidRDefault="00E24AAD" w:rsidP="0003043C">
            <w:pPr>
              <w:pStyle w:val="BodyTextIndent"/>
              <w:ind w:left="-101"/>
              <w:jc w:val="left"/>
              <w:rPr>
                <w:color w:val="auto"/>
                <w:szCs w:val="20"/>
                <w:lang w:val="en-GB"/>
              </w:rPr>
            </w:pPr>
            <w:r w:rsidRPr="00751136">
              <w:rPr>
                <w:color w:val="auto"/>
                <w:szCs w:val="20"/>
                <w:lang w:val="en-GB"/>
              </w:rPr>
              <w:t xml:space="preserve">   Rental receivables</w:t>
            </w:r>
          </w:p>
        </w:tc>
        <w:tc>
          <w:tcPr>
            <w:tcW w:w="1440" w:type="dxa"/>
          </w:tcPr>
          <w:p w14:paraId="4C8B3ECC" w14:textId="2F3E3231" w:rsidR="00E24AAD" w:rsidRPr="00751136" w:rsidRDefault="00E24AAD" w:rsidP="00722BB0">
            <w:pPr>
              <w:pStyle w:val="BodyTextIndent"/>
              <w:ind w:left="0" w:right="-72"/>
              <w:jc w:val="right"/>
              <w:rPr>
                <w:color w:val="auto"/>
                <w:szCs w:val="20"/>
              </w:rPr>
            </w:pPr>
            <w:r w:rsidRPr="00751136">
              <w:rPr>
                <w:szCs w:val="20"/>
              </w:rPr>
              <w:t>1,826,813</w:t>
            </w:r>
          </w:p>
        </w:tc>
        <w:tc>
          <w:tcPr>
            <w:tcW w:w="1440" w:type="dxa"/>
            <w:vAlign w:val="bottom"/>
          </w:tcPr>
          <w:p w14:paraId="7389BD50" w14:textId="02994225" w:rsidR="00E24AAD" w:rsidRPr="00751136" w:rsidRDefault="00E24AAD" w:rsidP="0003043C">
            <w:pPr>
              <w:pStyle w:val="BodyTextIndent"/>
              <w:ind w:left="0" w:right="-72"/>
              <w:jc w:val="right"/>
              <w:rPr>
                <w:color w:val="auto"/>
                <w:szCs w:val="20"/>
              </w:rPr>
            </w:pPr>
            <w:r w:rsidRPr="00751136">
              <w:rPr>
                <w:color w:val="auto"/>
                <w:szCs w:val="20"/>
              </w:rPr>
              <w:t>1,004,416</w:t>
            </w:r>
          </w:p>
        </w:tc>
      </w:tr>
      <w:tr w:rsidR="00E24AAD" w:rsidRPr="00751136" w14:paraId="04055257" w14:textId="6A2669C1" w:rsidTr="000A5A07">
        <w:tc>
          <w:tcPr>
            <w:tcW w:w="6165" w:type="dxa"/>
            <w:vAlign w:val="bottom"/>
          </w:tcPr>
          <w:p w14:paraId="4353656A" w14:textId="77777777" w:rsidR="00E24AAD" w:rsidRPr="00751136" w:rsidRDefault="00E24AAD" w:rsidP="0003043C">
            <w:pPr>
              <w:pStyle w:val="BodyTextIndent"/>
              <w:ind w:left="-101"/>
              <w:jc w:val="left"/>
              <w:rPr>
                <w:color w:val="auto"/>
                <w:szCs w:val="20"/>
                <w:lang w:val="en-GB"/>
              </w:rPr>
            </w:pPr>
            <w:r w:rsidRPr="00751136">
              <w:rPr>
                <w:color w:val="auto"/>
                <w:szCs w:val="20"/>
                <w:lang w:val="en-GB"/>
              </w:rPr>
              <w:t xml:space="preserve">   Other accounts receivable</w:t>
            </w:r>
          </w:p>
        </w:tc>
        <w:tc>
          <w:tcPr>
            <w:tcW w:w="1440" w:type="dxa"/>
          </w:tcPr>
          <w:p w14:paraId="17164BC5" w14:textId="3E86B686" w:rsidR="00E24AAD" w:rsidRPr="00751136" w:rsidRDefault="00E24AAD" w:rsidP="00722BB0">
            <w:pPr>
              <w:pStyle w:val="BodyTextIndent"/>
              <w:ind w:left="0" w:right="-72"/>
              <w:jc w:val="right"/>
              <w:rPr>
                <w:color w:val="auto"/>
                <w:szCs w:val="20"/>
              </w:rPr>
            </w:pPr>
            <w:r w:rsidRPr="00751136">
              <w:rPr>
                <w:szCs w:val="20"/>
              </w:rPr>
              <w:t>10,435,247</w:t>
            </w:r>
          </w:p>
        </w:tc>
        <w:tc>
          <w:tcPr>
            <w:tcW w:w="1440" w:type="dxa"/>
            <w:vAlign w:val="bottom"/>
          </w:tcPr>
          <w:p w14:paraId="7EDD1F43" w14:textId="14F506E5" w:rsidR="00E24AAD" w:rsidRPr="00751136" w:rsidRDefault="00E24AAD" w:rsidP="0003043C">
            <w:pPr>
              <w:pStyle w:val="BodyTextIndent"/>
              <w:ind w:left="0" w:right="-72"/>
              <w:jc w:val="right"/>
              <w:rPr>
                <w:color w:val="auto"/>
                <w:szCs w:val="20"/>
              </w:rPr>
            </w:pPr>
            <w:r w:rsidRPr="00751136">
              <w:rPr>
                <w:color w:val="auto"/>
                <w:szCs w:val="20"/>
              </w:rPr>
              <w:t>391,034</w:t>
            </w:r>
          </w:p>
        </w:tc>
      </w:tr>
      <w:tr w:rsidR="00E24AAD" w:rsidRPr="00751136" w14:paraId="353DB1FF" w14:textId="37BF3F03" w:rsidTr="000A5A07">
        <w:tc>
          <w:tcPr>
            <w:tcW w:w="6165" w:type="dxa"/>
            <w:vAlign w:val="bottom"/>
          </w:tcPr>
          <w:p w14:paraId="5B3496F7" w14:textId="21B585AA" w:rsidR="00E24AAD" w:rsidRPr="00751136" w:rsidRDefault="00E24AAD" w:rsidP="0003043C">
            <w:pPr>
              <w:pStyle w:val="BodyTextIndent"/>
              <w:ind w:left="-101"/>
              <w:jc w:val="left"/>
              <w:rPr>
                <w:color w:val="auto"/>
                <w:szCs w:val="20"/>
                <w:lang w:val="en-GB"/>
              </w:rPr>
            </w:pPr>
            <w:r w:rsidRPr="00751136">
              <w:rPr>
                <w:color w:val="auto"/>
                <w:szCs w:val="20"/>
                <w:lang w:val="en-GB"/>
              </w:rPr>
              <w:t xml:space="preserve">   Accrued expenses</w:t>
            </w:r>
          </w:p>
        </w:tc>
        <w:tc>
          <w:tcPr>
            <w:tcW w:w="1440" w:type="dxa"/>
          </w:tcPr>
          <w:p w14:paraId="4C642582" w14:textId="2C6C2DB5" w:rsidR="00E24AAD" w:rsidRPr="00751136" w:rsidRDefault="00E24AAD" w:rsidP="00722BB0">
            <w:pPr>
              <w:pStyle w:val="BodyTextIndent"/>
              <w:ind w:left="0" w:right="-72"/>
              <w:jc w:val="right"/>
              <w:rPr>
                <w:szCs w:val="20"/>
                <w:lang w:val="en-GB"/>
              </w:rPr>
            </w:pPr>
            <w:r w:rsidRPr="00751136">
              <w:rPr>
                <w:szCs w:val="20"/>
              </w:rPr>
              <w:t>10,634,208</w:t>
            </w:r>
          </w:p>
        </w:tc>
        <w:tc>
          <w:tcPr>
            <w:tcW w:w="1440" w:type="dxa"/>
            <w:vAlign w:val="bottom"/>
          </w:tcPr>
          <w:p w14:paraId="3DC7CE2F" w14:textId="4D659078" w:rsidR="00E24AAD" w:rsidRPr="00751136" w:rsidRDefault="00E24AAD" w:rsidP="0003043C">
            <w:pPr>
              <w:pStyle w:val="BodyTextIndent"/>
              <w:ind w:left="0" w:right="-72"/>
              <w:jc w:val="right"/>
              <w:rPr>
                <w:szCs w:val="20"/>
                <w:lang w:val="en-GB"/>
              </w:rPr>
            </w:pPr>
            <w:r w:rsidRPr="00751136">
              <w:rPr>
                <w:szCs w:val="20"/>
                <w:lang w:val="en-GB"/>
              </w:rPr>
              <w:t>9,329,597</w:t>
            </w:r>
          </w:p>
        </w:tc>
      </w:tr>
      <w:tr w:rsidR="00E24AAD" w:rsidRPr="00751136" w14:paraId="1B69F0E7" w14:textId="5D944AAD" w:rsidTr="000A5A07">
        <w:tc>
          <w:tcPr>
            <w:tcW w:w="6165" w:type="dxa"/>
            <w:vAlign w:val="bottom"/>
          </w:tcPr>
          <w:p w14:paraId="1AE26412" w14:textId="68AECDF0" w:rsidR="00E24AAD" w:rsidRPr="00751136" w:rsidRDefault="00E24AAD" w:rsidP="0003043C">
            <w:pPr>
              <w:pStyle w:val="BodyTextIndent"/>
              <w:ind w:left="-101"/>
              <w:jc w:val="left"/>
              <w:rPr>
                <w:color w:val="auto"/>
                <w:szCs w:val="20"/>
                <w:lang w:val="en-GB"/>
              </w:rPr>
            </w:pPr>
            <w:r w:rsidRPr="00751136">
              <w:rPr>
                <w:color w:val="auto"/>
                <w:szCs w:val="20"/>
                <w:lang w:val="en-GB"/>
              </w:rPr>
              <w:t xml:space="preserve">   Other accounts payable</w:t>
            </w:r>
          </w:p>
        </w:tc>
        <w:tc>
          <w:tcPr>
            <w:tcW w:w="1440" w:type="dxa"/>
          </w:tcPr>
          <w:p w14:paraId="47304DEB" w14:textId="38E141BA" w:rsidR="00E24AAD" w:rsidRPr="00751136" w:rsidRDefault="00E24AAD" w:rsidP="00722BB0">
            <w:pPr>
              <w:pStyle w:val="BodyTextIndent"/>
              <w:ind w:left="0" w:right="-72"/>
              <w:jc w:val="right"/>
              <w:rPr>
                <w:szCs w:val="20"/>
                <w:lang w:val="en-GB"/>
              </w:rPr>
            </w:pPr>
            <w:r w:rsidRPr="00751136">
              <w:rPr>
                <w:szCs w:val="20"/>
              </w:rPr>
              <w:t>49,177,425</w:t>
            </w:r>
          </w:p>
        </w:tc>
        <w:tc>
          <w:tcPr>
            <w:tcW w:w="1440" w:type="dxa"/>
            <w:vAlign w:val="bottom"/>
          </w:tcPr>
          <w:p w14:paraId="18CD6A0B" w14:textId="38FFC4DE" w:rsidR="00E24AAD" w:rsidRPr="00751136" w:rsidRDefault="00E24AAD" w:rsidP="0003043C">
            <w:pPr>
              <w:pStyle w:val="BodyTextIndent"/>
              <w:ind w:left="0" w:right="-72"/>
              <w:jc w:val="right"/>
              <w:rPr>
                <w:szCs w:val="20"/>
                <w:lang w:val="en-GB"/>
              </w:rPr>
            </w:pPr>
            <w:r w:rsidRPr="00751136">
              <w:rPr>
                <w:szCs w:val="20"/>
                <w:lang w:val="en-GB"/>
              </w:rPr>
              <w:t>21,248,049</w:t>
            </w:r>
          </w:p>
        </w:tc>
      </w:tr>
      <w:tr w:rsidR="00E24AAD" w:rsidRPr="00751136" w14:paraId="5F01C6BD" w14:textId="77777777" w:rsidTr="000A5A07">
        <w:tc>
          <w:tcPr>
            <w:tcW w:w="6165" w:type="dxa"/>
            <w:vAlign w:val="bottom"/>
          </w:tcPr>
          <w:p w14:paraId="4AA36F4E" w14:textId="77D9B06D" w:rsidR="00E24AAD" w:rsidRPr="00751136" w:rsidRDefault="00E24AAD" w:rsidP="0003043C">
            <w:pPr>
              <w:pStyle w:val="BodyTextIndent"/>
              <w:ind w:left="-101"/>
              <w:jc w:val="left"/>
              <w:rPr>
                <w:color w:val="auto"/>
                <w:szCs w:val="20"/>
                <w:lang w:val="en-GB"/>
              </w:rPr>
            </w:pPr>
            <w:r w:rsidRPr="00751136">
              <w:rPr>
                <w:color w:val="auto"/>
                <w:szCs w:val="20"/>
                <w:lang w:val="en-GB"/>
              </w:rPr>
              <w:t xml:space="preserve">   Lease liabilities</w:t>
            </w:r>
          </w:p>
        </w:tc>
        <w:tc>
          <w:tcPr>
            <w:tcW w:w="1440" w:type="dxa"/>
          </w:tcPr>
          <w:p w14:paraId="7AF1ED5B" w14:textId="25DD25D5" w:rsidR="00E24AAD" w:rsidRPr="00751136" w:rsidRDefault="00E24AAD" w:rsidP="0003043C">
            <w:pPr>
              <w:pStyle w:val="BodyTextIndent"/>
              <w:ind w:left="0" w:right="-72"/>
              <w:jc w:val="right"/>
              <w:rPr>
                <w:color w:val="auto"/>
                <w:szCs w:val="20"/>
                <w:lang w:val="en-GB"/>
              </w:rPr>
            </w:pPr>
            <w:r w:rsidRPr="00751136">
              <w:rPr>
                <w:szCs w:val="20"/>
              </w:rPr>
              <w:t>6,712,358,682</w:t>
            </w:r>
          </w:p>
        </w:tc>
        <w:tc>
          <w:tcPr>
            <w:tcW w:w="1440" w:type="dxa"/>
            <w:vAlign w:val="bottom"/>
          </w:tcPr>
          <w:p w14:paraId="2E2BBD16" w14:textId="6E82E45E" w:rsidR="00E24AAD" w:rsidRPr="00751136" w:rsidRDefault="00E24AAD" w:rsidP="0003043C">
            <w:pPr>
              <w:pStyle w:val="BodyTextIndent"/>
              <w:ind w:left="0" w:right="-72"/>
              <w:jc w:val="right"/>
              <w:rPr>
                <w:color w:val="auto"/>
                <w:szCs w:val="20"/>
                <w:lang w:val="en-GB"/>
              </w:rPr>
            </w:pPr>
            <w:r w:rsidRPr="00751136">
              <w:rPr>
                <w:color w:val="auto"/>
                <w:szCs w:val="20"/>
                <w:lang w:val="en-GB"/>
              </w:rPr>
              <w:t>6,344,466,407</w:t>
            </w:r>
          </w:p>
        </w:tc>
      </w:tr>
      <w:tr w:rsidR="005F576A" w:rsidRPr="00751136" w14:paraId="045EC705" w14:textId="68B0600F" w:rsidTr="000A5A07">
        <w:tc>
          <w:tcPr>
            <w:tcW w:w="6165" w:type="dxa"/>
            <w:vAlign w:val="bottom"/>
          </w:tcPr>
          <w:p w14:paraId="4A4B9DA4" w14:textId="77777777" w:rsidR="005F576A" w:rsidRPr="00751136" w:rsidRDefault="005F576A" w:rsidP="0003043C">
            <w:pPr>
              <w:pStyle w:val="BodyTextIndent"/>
              <w:ind w:left="-101"/>
              <w:jc w:val="left"/>
              <w:rPr>
                <w:color w:val="auto"/>
                <w:szCs w:val="20"/>
                <w:lang w:val="en-GB"/>
              </w:rPr>
            </w:pPr>
          </w:p>
        </w:tc>
        <w:tc>
          <w:tcPr>
            <w:tcW w:w="1440" w:type="dxa"/>
          </w:tcPr>
          <w:p w14:paraId="1D275EB1" w14:textId="77777777" w:rsidR="005F576A" w:rsidRPr="00751136" w:rsidRDefault="005F576A" w:rsidP="0003043C">
            <w:pPr>
              <w:pStyle w:val="BodyTextIndent"/>
              <w:ind w:left="0" w:right="-72"/>
              <w:jc w:val="right"/>
              <w:rPr>
                <w:szCs w:val="20"/>
                <w:lang w:val="en-GB"/>
              </w:rPr>
            </w:pPr>
          </w:p>
        </w:tc>
        <w:tc>
          <w:tcPr>
            <w:tcW w:w="1440" w:type="dxa"/>
          </w:tcPr>
          <w:p w14:paraId="52B1A6F4" w14:textId="2329FEF9" w:rsidR="005F576A" w:rsidRPr="00751136" w:rsidRDefault="005F576A" w:rsidP="0003043C">
            <w:pPr>
              <w:pStyle w:val="BodyTextIndent"/>
              <w:ind w:left="0" w:right="-72"/>
              <w:jc w:val="right"/>
              <w:rPr>
                <w:szCs w:val="20"/>
                <w:lang w:val="en-GB"/>
              </w:rPr>
            </w:pPr>
          </w:p>
        </w:tc>
      </w:tr>
      <w:tr w:rsidR="005F576A" w:rsidRPr="00751136" w14:paraId="5515F09E" w14:textId="77777777" w:rsidTr="000A5A07">
        <w:tc>
          <w:tcPr>
            <w:tcW w:w="6165" w:type="dxa"/>
            <w:vAlign w:val="bottom"/>
          </w:tcPr>
          <w:p w14:paraId="5427085F" w14:textId="007359D4" w:rsidR="005F576A" w:rsidRPr="00751136" w:rsidRDefault="005F576A" w:rsidP="0003043C">
            <w:pPr>
              <w:pStyle w:val="BodyTextIndent"/>
              <w:ind w:left="-101"/>
              <w:jc w:val="left"/>
              <w:rPr>
                <w:color w:val="auto"/>
                <w:szCs w:val="20"/>
                <w:lang w:val="en-GB"/>
              </w:rPr>
            </w:pPr>
            <w:proofErr w:type="spellStart"/>
            <w:r w:rsidRPr="00751136">
              <w:rPr>
                <w:color w:val="auto"/>
                <w:szCs w:val="20"/>
                <w:lang w:val="en-GB"/>
              </w:rPr>
              <w:t>Krungthai</w:t>
            </w:r>
            <w:proofErr w:type="spellEnd"/>
            <w:r w:rsidRPr="00751136">
              <w:rPr>
                <w:color w:val="auto"/>
                <w:szCs w:val="20"/>
                <w:lang w:val="en-GB"/>
              </w:rPr>
              <w:t xml:space="preserve"> Asset Management Public Company Limited</w:t>
            </w:r>
          </w:p>
        </w:tc>
        <w:tc>
          <w:tcPr>
            <w:tcW w:w="1440" w:type="dxa"/>
          </w:tcPr>
          <w:p w14:paraId="61C4A03D" w14:textId="77777777" w:rsidR="005F576A" w:rsidRPr="00751136" w:rsidRDefault="005F576A" w:rsidP="0003043C">
            <w:pPr>
              <w:pStyle w:val="BodyTextIndent"/>
              <w:ind w:left="0" w:right="-72"/>
              <w:jc w:val="right"/>
              <w:rPr>
                <w:szCs w:val="20"/>
                <w:lang w:val="en-GB"/>
              </w:rPr>
            </w:pPr>
          </w:p>
        </w:tc>
        <w:tc>
          <w:tcPr>
            <w:tcW w:w="1440" w:type="dxa"/>
          </w:tcPr>
          <w:p w14:paraId="78790085" w14:textId="0A6863AD" w:rsidR="005F576A" w:rsidRPr="00751136" w:rsidRDefault="005F576A" w:rsidP="0003043C">
            <w:pPr>
              <w:pStyle w:val="BodyTextIndent"/>
              <w:ind w:left="0" w:right="-72"/>
              <w:jc w:val="right"/>
              <w:rPr>
                <w:szCs w:val="20"/>
                <w:lang w:val="en-GB"/>
              </w:rPr>
            </w:pPr>
          </w:p>
        </w:tc>
      </w:tr>
      <w:tr w:rsidR="005F576A" w:rsidRPr="00751136" w14:paraId="47FA5E21" w14:textId="77777777" w:rsidTr="000A5A07">
        <w:tc>
          <w:tcPr>
            <w:tcW w:w="6165" w:type="dxa"/>
            <w:vAlign w:val="bottom"/>
          </w:tcPr>
          <w:p w14:paraId="078BF33F" w14:textId="7C3B039C" w:rsidR="005F576A" w:rsidRPr="00751136" w:rsidRDefault="005F576A" w:rsidP="0003043C">
            <w:pPr>
              <w:pStyle w:val="BodyTextIndent"/>
              <w:ind w:left="-101"/>
              <w:jc w:val="left"/>
              <w:rPr>
                <w:color w:val="auto"/>
                <w:szCs w:val="20"/>
                <w:lang w:val="en-GB"/>
              </w:rPr>
            </w:pPr>
            <w:r w:rsidRPr="00751136">
              <w:rPr>
                <w:color w:val="auto"/>
                <w:szCs w:val="20"/>
                <w:lang w:val="en-GB"/>
              </w:rPr>
              <w:t xml:space="preserve">   Accrued expenses</w:t>
            </w:r>
          </w:p>
        </w:tc>
        <w:tc>
          <w:tcPr>
            <w:tcW w:w="1440" w:type="dxa"/>
          </w:tcPr>
          <w:p w14:paraId="058FDD09" w14:textId="5503612C" w:rsidR="005F576A" w:rsidRPr="00751136" w:rsidRDefault="00E24AAD" w:rsidP="0003043C">
            <w:pPr>
              <w:pStyle w:val="BodyTextIndent"/>
              <w:ind w:left="0" w:right="-72"/>
              <w:jc w:val="right"/>
              <w:rPr>
                <w:szCs w:val="20"/>
                <w:lang w:val="en-GB"/>
              </w:rPr>
            </w:pPr>
            <w:r w:rsidRPr="00751136">
              <w:rPr>
                <w:szCs w:val="20"/>
                <w:lang w:val="en-GB"/>
              </w:rPr>
              <w:t>1,960,053</w:t>
            </w:r>
          </w:p>
        </w:tc>
        <w:tc>
          <w:tcPr>
            <w:tcW w:w="1440" w:type="dxa"/>
          </w:tcPr>
          <w:p w14:paraId="1EFF6CB7" w14:textId="4F442D6F" w:rsidR="005F576A" w:rsidRPr="00751136" w:rsidRDefault="005F576A" w:rsidP="0003043C">
            <w:pPr>
              <w:pStyle w:val="BodyTextIndent"/>
              <w:ind w:left="0" w:right="-72"/>
              <w:jc w:val="right"/>
              <w:rPr>
                <w:szCs w:val="20"/>
                <w:lang w:val="en-GB"/>
              </w:rPr>
            </w:pPr>
            <w:r w:rsidRPr="00751136">
              <w:rPr>
                <w:szCs w:val="20"/>
                <w:lang w:val="en-GB"/>
              </w:rPr>
              <w:t>891,667</w:t>
            </w:r>
          </w:p>
        </w:tc>
      </w:tr>
      <w:tr w:rsidR="005F576A" w:rsidRPr="00751136" w14:paraId="44FD35FD" w14:textId="77777777" w:rsidTr="000A5A07">
        <w:tc>
          <w:tcPr>
            <w:tcW w:w="6165" w:type="dxa"/>
            <w:vAlign w:val="bottom"/>
          </w:tcPr>
          <w:p w14:paraId="3AAC1934" w14:textId="77777777" w:rsidR="005F576A" w:rsidRPr="00751136" w:rsidRDefault="005F576A" w:rsidP="0003043C">
            <w:pPr>
              <w:pStyle w:val="BodyTextIndent"/>
              <w:ind w:left="-101"/>
              <w:jc w:val="left"/>
              <w:rPr>
                <w:color w:val="auto"/>
                <w:szCs w:val="20"/>
                <w:lang w:val="en-GB"/>
              </w:rPr>
            </w:pPr>
          </w:p>
        </w:tc>
        <w:tc>
          <w:tcPr>
            <w:tcW w:w="1440" w:type="dxa"/>
          </w:tcPr>
          <w:p w14:paraId="7B5A5B5E" w14:textId="77777777" w:rsidR="005F576A" w:rsidRPr="00751136" w:rsidRDefault="005F576A" w:rsidP="0003043C">
            <w:pPr>
              <w:pStyle w:val="BodyTextIndent"/>
              <w:ind w:left="0" w:right="-72"/>
              <w:jc w:val="right"/>
              <w:rPr>
                <w:szCs w:val="20"/>
                <w:lang w:val="en-GB"/>
              </w:rPr>
            </w:pPr>
          </w:p>
        </w:tc>
        <w:tc>
          <w:tcPr>
            <w:tcW w:w="1440" w:type="dxa"/>
          </w:tcPr>
          <w:p w14:paraId="774FA1C0" w14:textId="7B1F5059" w:rsidR="005F576A" w:rsidRPr="00751136" w:rsidRDefault="005F576A" w:rsidP="0003043C">
            <w:pPr>
              <w:pStyle w:val="BodyTextIndent"/>
              <w:ind w:left="0" w:right="-72"/>
              <w:jc w:val="right"/>
              <w:rPr>
                <w:szCs w:val="20"/>
                <w:lang w:val="en-GB"/>
              </w:rPr>
            </w:pPr>
          </w:p>
        </w:tc>
      </w:tr>
      <w:tr w:rsidR="005F576A" w:rsidRPr="00751136" w14:paraId="28A59DB4" w14:textId="37B67145" w:rsidTr="000A5A07">
        <w:tc>
          <w:tcPr>
            <w:tcW w:w="6165" w:type="dxa"/>
            <w:vAlign w:val="bottom"/>
          </w:tcPr>
          <w:p w14:paraId="4305BF44" w14:textId="77777777" w:rsidR="005F576A" w:rsidRPr="00751136" w:rsidRDefault="005F576A" w:rsidP="0003043C">
            <w:pPr>
              <w:pStyle w:val="BodyTextIndent"/>
              <w:ind w:left="-101"/>
              <w:jc w:val="left"/>
              <w:rPr>
                <w:color w:val="auto"/>
                <w:szCs w:val="20"/>
                <w:lang w:val="en-GB"/>
              </w:rPr>
            </w:pPr>
            <w:r w:rsidRPr="00751136">
              <w:rPr>
                <w:color w:val="auto"/>
                <w:szCs w:val="20"/>
                <w:lang w:val="en-GB"/>
              </w:rPr>
              <w:t>BBL Asset Management Company Limited</w:t>
            </w:r>
          </w:p>
        </w:tc>
        <w:tc>
          <w:tcPr>
            <w:tcW w:w="1440" w:type="dxa"/>
          </w:tcPr>
          <w:p w14:paraId="6BC3518C" w14:textId="77777777" w:rsidR="005F576A" w:rsidRPr="00751136" w:rsidRDefault="005F576A" w:rsidP="0003043C">
            <w:pPr>
              <w:pStyle w:val="BodyTextIndent"/>
              <w:ind w:left="0" w:right="-72"/>
              <w:jc w:val="right"/>
              <w:rPr>
                <w:szCs w:val="20"/>
                <w:lang w:val="en-GB"/>
              </w:rPr>
            </w:pPr>
          </w:p>
        </w:tc>
        <w:tc>
          <w:tcPr>
            <w:tcW w:w="1440" w:type="dxa"/>
          </w:tcPr>
          <w:p w14:paraId="3D5CB557" w14:textId="54701ADC" w:rsidR="005F576A" w:rsidRPr="00751136" w:rsidRDefault="005F576A" w:rsidP="0003043C">
            <w:pPr>
              <w:pStyle w:val="BodyTextIndent"/>
              <w:ind w:left="0" w:right="-72"/>
              <w:jc w:val="right"/>
              <w:rPr>
                <w:szCs w:val="20"/>
                <w:lang w:val="en-GB"/>
              </w:rPr>
            </w:pPr>
          </w:p>
        </w:tc>
      </w:tr>
      <w:tr w:rsidR="005F576A" w:rsidRPr="00751136" w14:paraId="1770966F" w14:textId="2128AD4F" w:rsidTr="000A5A07">
        <w:tc>
          <w:tcPr>
            <w:tcW w:w="6165" w:type="dxa"/>
            <w:vAlign w:val="bottom"/>
          </w:tcPr>
          <w:p w14:paraId="749FC6B9" w14:textId="7F067AF1" w:rsidR="005F576A" w:rsidRPr="00751136" w:rsidRDefault="005F576A" w:rsidP="0003043C">
            <w:pPr>
              <w:pStyle w:val="BodyTextIndent"/>
              <w:ind w:left="-101"/>
              <w:jc w:val="left"/>
              <w:rPr>
                <w:color w:val="auto"/>
                <w:szCs w:val="20"/>
                <w:lang w:val="en-GB"/>
              </w:rPr>
            </w:pPr>
            <w:r w:rsidRPr="00751136">
              <w:rPr>
                <w:color w:val="auto"/>
                <w:szCs w:val="20"/>
                <w:lang w:val="en-GB"/>
              </w:rPr>
              <w:t xml:space="preserve">   Accrued expenses</w:t>
            </w:r>
          </w:p>
        </w:tc>
        <w:tc>
          <w:tcPr>
            <w:tcW w:w="1440" w:type="dxa"/>
          </w:tcPr>
          <w:p w14:paraId="3B44D403" w14:textId="7E15859A" w:rsidR="005F576A" w:rsidRPr="00751136" w:rsidRDefault="00E24AAD" w:rsidP="0003043C">
            <w:pPr>
              <w:pStyle w:val="BodyTextIndent"/>
              <w:ind w:left="0" w:right="-72"/>
              <w:jc w:val="right"/>
              <w:rPr>
                <w:szCs w:val="20"/>
                <w:lang w:val="en-GB"/>
              </w:rPr>
            </w:pPr>
            <w:r w:rsidRPr="00751136">
              <w:rPr>
                <w:szCs w:val="20"/>
                <w:lang w:val="en-GB"/>
              </w:rPr>
              <w:t>1,33</w:t>
            </w:r>
            <w:r w:rsidR="006919CC" w:rsidRPr="00751136">
              <w:rPr>
                <w:szCs w:val="20"/>
                <w:lang w:val="en-GB"/>
              </w:rPr>
              <w:t>7,500</w:t>
            </w:r>
          </w:p>
        </w:tc>
        <w:tc>
          <w:tcPr>
            <w:tcW w:w="1440" w:type="dxa"/>
            <w:vAlign w:val="bottom"/>
          </w:tcPr>
          <w:p w14:paraId="43044FA7" w14:textId="3F1C49B7" w:rsidR="005F576A" w:rsidRPr="00751136" w:rsidRDefault="005F576A" w:rsidP="0003043C">
            <w:pPr>
              <w:pStyle w:val="BodyTextIndent"/>
              <w:ind w:left="0" w:right="-72"/>
              <w:jc w:val="right"/>
              <w:rPr>
                <w:szCs w:val="20"/>
                <w:lang w:val="en-GB"/>
              </w:rPr>
            </w:pPr>
            <w:r w:rsidRPr="00751136">
              <w:rPr>
                <w:szCs w:val="20"/>
                <w:lang w:val="en-GB"/>
              </w:rPr>
              <w:t>624,167</w:t>
            </w:r>
          </w:p>
        </w:tc>
      </w:tr>
    </w:tbl>
    <w:p w14:paraId="1E46EC14" w14:textId="77777777" w:rsidR="00BE7FAD" w:rsidRPr="00751136" w:rsidRDefault="00BE7FAD" w:rsidP="00722BB0">
      <w:pPr>
        <w:pStyle w:val="BodyTextIndent"/>
        <w:ind w:left="0"/>
        <w:rPr>
          <w:color w:val="auto"/>
          <w:szCs w:val="20"/>
        </w:rPr>
      </w:pPr>
      <w:bookmarkStart w:id="12" w:name="OLE_LINK_4"/>
      <w:bookmarkEnd w:id="11"/>
    </w:p>
    <w:p w14:paraId="211EFDF7" w14:textId="6BEB1501" w:rsidR="00BE7FAD" w:rsidRPr="00751136" w:rsidRDefault="00722BB0" w:rsidP="0003043C">
      <w:pPr>
        <w:ind w:right="-119" w:firstLine="19"/>
        <w:jc w:val="both"/>
        <w:rPr>
          <w:b/>
          <w:lang w:val="en-GB"/>
        </w:rPr>
      </w:pPr>
      <w:r w:rsidRPr="00751136">
        <w:rPr>
          <w:color w:val="auto"/>
        </w:rPr>
        <w:br w:type="page"/>
      </w:r>
      <w:r w:rsidR="00BE7FAD" w:rsidRPr="00751136">
        <w:rPr>
          <w:b/>
          <w:lang w:val="en-GB"/>
        </w:rPr>
        <w:lastRenderedPageBreak/>
        <w:t>Lease liabilities</w:t>
      </w:r>
    </w:p>
    <w:bookmarkEnd w:id="12"/>
    <w:p w14:paraId="3D01BF74" w14:textId="03155EB0" w:rsidR="00BE7FAD" w:rsidRPr="00751136" w:rsidRDefault="00BE7FAD" w:rsidP="00722BB0">
      <w:pPr>
        <w:pStyle w:val="BodyTextIndent"/>
        <w:ind w:left="0"/>
        <w:rPr>
          <w:color w:val="auto"/>
          <w:sz w:val="16"/>
          <w:szCs w:val="16"/>
        </w:rPr>
      </w:pPr>
    </w:p>
    <w:tbl>
      <w:tblPr>
        <w:tblW w:w="9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2"/>
        <w:gridCol w:w="1559"/>
        <w:gridCol w:w="1523"/>
      </w:tblGrid>
      <w:tr w:rsidR="00BE7FAD" w:rsidRPr="00751136" w14:paraId="4E1342A3" w14:textId="77777777" w:rsidTr="00E24AAD">
        <w:tc>
          <w:tcPr>
            <w:tcW w:w="6062" w:type="dxa"/>
            <w:tcBorders>
              <w:top w:val="nil"/>
              <w:left w:val="nil"/>
              <w:bottom w:val="nil"/>
              <w:right w:val="nil"/>
            </w:tcBorders>
          </w:tcPr>
          <w:p w14:paraId="378E398F" w14:textId="77777777" w:rsidR="00BE7FAD" w:rsidRPr="00142FDE" w:rsidRDefault="00BE7FAD" w:rsidP="0003043C">
            <w:pPr>
              <w:ind w:right="-119"/>
              <w:jc w:val="both"/>
              <w:rPr>
                <w:b/>
                <w:lang w:val="en-GB"/>
              </w:rPr>
            </w:pPr>
          </w:p>
        </w:tc>
        <w:tc>
          <w:tcPr>
            <w:tcW w:w="1559" w:type="dxa"/>
            <w:tcBorders>
              <w:top w:val="nil"/>
              <w:left w:val="nil"/>
              <w:bottom w:val="nil"/>
              <w:right w:val="nil"/>
            </w:tcBorders>
            <w:vAlign w:val="bottom"/>
            <w:hideMark/>
          </w:tcPr>
          <w:p w14:paraId="6642F957" w14:textId="35649020" w:rsidR="00BE7FAD" w:rsidRPr="00142FDE" w:rsidRDefault="00BE7FAD" w:rsidP="0003043C">
            <w:pPr>
              <w:ind w:left="-142" w:right="-72"/>
              <w:jc w:val="right"/>
              <w:rPr>
                <w:b/>
                <w:lang w:val="en-GB"/>
              </w:rPr>
            </w:pPr>
            <w:r w:rsidRPr="00142FDE">
              <w:rPr>
                <w:b/>
                <w:bCs/>
                <w:color w:val="auto"/>
                <w:lang w:val="en-GB"/>
              </w:rPr>
              <w:t>2025</w:t>
            </w:r>
          </w:p>
        </w:tc>
        <w:tc>
          <w:tcPr>
            <w:tcW w:w="1523" w:type="dxa"/>
            <w:tcBorders>
              <w:top w:val="nil"/>
              <w:left w:val="nil"/>
              <w:bottom w:val="nil"/>
              <w:right w:val="nil"/>
            </w:tcBorders>
            <w:vAlign w:val="bottom"/>
            <w:hideMark/>
          </w:tcPr>
          <w:p w14:paraId="32646901" w14:textId="494093D7" w:rsidR="00BE7FAD" w:rsidRPr="00142FDE" w:rsidRDefault="00BE7FAD" w:rsidP="0003043C">
            <w:pPr>
              <w:ind w:left="-142" w:right="-72"/>
              <w:jc w:val="right"/>
              <w:rPr>
                <w:b/>
                <w:lang w:val="en-GB"/>
              </w:rPr>
            </w:pPr>
            <w:r w:rsidRPr="00142FDE">
              <w:rPr>
                <w:b/>
                <w:bCs/>
                <w:color w:val="auto"/>
                <w:lang w:val="en-GB"/>
              </w:rPr>
              <w:t>2024</w:t>
            </w:r>
          </w:p>
        </w:tc>
      </w:tr>
      <w:tr w:rsidR="00BE7FAD" w:rsidRPr="00751136" w14:paraId="56C6B968" w14:textId="77777777" w:rsidTr="00E24AAD">
        <w:tc>
          <w:tcPr>
            <w:tcW w:w="6062" w:type="dxa"/>
            <w:tcBorders>
              <w:top w:val="nil"/>
              <w:left w:val="nil"/>
              <w:bottom w:val="nil"/>
              <w:right w:val="nil"/>
            </w:tcBorders>
          </w:tcPr>
          <w:p w14:paraId="53F04E51" w14:textId="77777777" w:rsidR="00BE7FAD" w:rsidRPr="00142FDE" w:rsidRDefault="00BE7FAD" w:rsidP="0003043C">
            <w:pPr>
              <w:ind w:right="-119"/>
              <w:jc w:val="both"/>
              <w:rPr>
                <w:b/>
                <w:lang w:val="en-GB"/>
              </w:rPr>
            </w:pPr>
          </w:p>
        </w:tc>
        <w:tc>
          <w:tcPr>
            <w:tcW w:w="1559" w:type="dxa"/>
            <w:tcBorders>
              <w:top w:val="nil"/>
              <w:left w:val="nil"/>
              <w:bottom w:val="single" w:sz="4" w:space="0" w:color="000000"/>
              <w:right w:val="nil"/>
            </w:tcBorders>
            <w:vAlign w:val="bottom"/>
            <w:hideMark/>
          </w:tcPr>
          <w:p w14:paraId="44F950DE" w14:textId="28A9AF25" w:rsidR="00BE7FAD" w:rsidRPr="00142FDE" w:rsidRDefault="00BE7FAD" w:rsidP="0003043C">
            <w:pPr>
              <w:ind w:right="-72"/>
              <w:jc w:val="right"/>
              <w:rPr>
                <w:b/>
                <w:lang w:val="en-GB"/>
              </w:rPr>
            </w:pPr>
            <w:r w:rsidRPr="00142FDE">
              <w:rPr>
                <w:b/>
                <w:bCs/>
                <w:color w:val="auto"/>
              </w:rPr>
              <w:t>Baht</w:t>
            </w:r>
          </w:p>
        </w:tc>
        <w:tc>
          <w:tcPr>
            <w:tcW w:w="1523" w:type="dxa"/>
            <w:tcBorders>
              <w:top w:val="nil"/>
              <w:left w:val="nil"/>
              <w:bottom w:val="single" w:sz="4" w:space="0" w:color="000000"/>
              <w:right w:val="nil"/>
            </w:tcBorders>
            <w:vAlign w:val="bottom"/>
            <w:hideMark/>
          </w:tcPr>
          <w:p w14:paraId="2BA02D84" w14:textId="0708FC55" w:rsidR="00BE7FAD" w:rsidRPr="00142FDE" w:rsidRDefault="00BE7FAD" w:rsidP="0003043C">
            <w:pPr>
              <w:ind w:right="-72"/>
              <w:jc w:val="right"/>
              <w:rPr>
                <w:b/>
                <w:lang w:val="en-GB"/>
              </w:rPr>
            </w:pPr>
            <w:r w:rsidRPr="00142FDE">
              <w:rPr>
                <w:b/>
                <w:bCs/>
                <w:color w:val="auto"/>
                <w:lang w:val="en-GB"/>
              </w:rPr>
              <w:t>Baht</w:t>
            </w:r>
          </w:p>
        </w:tc>
      </w:tr>
      <w:tr w:rsidR="00BE7FAD" w:rsidRPr="00142FDE" w14:paraId="76E4DD87" w14:textId="77777777" w:rsidTr="00E24AAD">
        <w:tc>
          <w:tcPr>
            <w:tcW w:w="6062" w:type="dxa"/>
            <w:tcBorders>
              <w:top w:val="nil"/>
              <w:left w:val="nil"/>
              <w:bottom w:val="nil"/>
              <w:right w:val="nil"/>
            </w:tcBorders>
          </w:tcPr>
          <w:p w14:paraId="20C39DF4" w14:textId="77777777" w:rsidR="00BE7FAD" w:rsidRPr="00142FDE" w:rsidRDefault="00BE7FAD" w:rsidP="0003043C">
            <w:pPr>
              <w:ind w:right="-119"/>
              <w:jc w:val="both"/>
              <w:rPr>
                <w:sz w:val="12"/>
                <w:szCs w:val="12"/>
                <w:lang w:val="en-GB"/>
              </w:rPr>
            </w:pPr>
          </w:p>
        </w:tc>
        <w:tc>
          <w:tcPr>
            <w:tcW w:w="1559" w:type="dxa"/>
            <w:tcBorders>
              <w:top w:val="single" w:sz="4" w:space="0" w:color="000000"/>
              <w:left w:val="nil"/>
              <w:bottom w:val="nil"/>
              <w:right w:val="nil"/>
            </w:tcBorders>
          </w:tcPr>
          <w:p w14:paraId="0B8F64F2" w14:textId="77777777" w:rsidR="00BE7FAD" w:rsidRPr="00142FDE" w:rsidRDefault="00BE7FAD" w:rsidP="0003043C">
            <w:pPr>
              <w:ind w:right="-72"/>
              <w:jc w:val="right"/>
              <w:rPr>
                <w:b/>
                <w:sz w:val="12"/>
                <w:szCs w:val="12"/>
                <w:lang w:val="en-GB"/>
              </w:rPr>
            </w:pPr>
          </w:p>
        </w:tc>
        <w:tc>
          <w:tcPr>
            <w:tcW w:w="1523" w:type="dxa"/>
            <w:tcBorders>
              <w:top w:val="single" w:sz="4" w:space="0" w:color="000000"/>
              <w:left w:val="nil"/>
              <w:bottom w:val="nil"/>
              <w:right w:val="nil"/>
            </w:tcBorders>
          </w:tcPr>
          <w:p w14:paraId="17206073" w14:textId="77777777" w:rsidR="00BE7FAD" w:rsidRPr="00142FDE" w:rsidRDefault="00BE7FAD" w:rsidP="0003043C">
            <w:pPr>
              <w:ind w:right="-72"/>
              <w:jc w:val="right"/>
              <w:rPr>
                <w:b/>
                <w:sz w:val="12"/>
                <w:szCs w:val="12"/>
                <w:lang w:val="en-GB"/>
              </w:rPr>
            </w:pPr>
          </w:p>
        </w:tc>
      </w:tr>
      <w:tr w:rsidR="00BE7FAD" w:rsidRPr="00751136" w14:paraId="472ED594" w14:textId="77777777" w:rsidTr="00E24AAD">
        <w:tc>
          <w:tcPr>
            <w:tcW w:w="6062" w:type="dxa"/>
            <w:tcBorders>
              <w:top w:val="nil"/>
              <w:left w:val="nil"/>
              <w:bottom w:val="nil"/>
              <w:right w:val="nil"/>
            </w:tcBorders>
          </w:tcPr>
          <w:p w14:paraId="17D6A14C" w14:textId="48067290" w:rsidR="00BE7FAD" w:rsidRPr="00142FDE" w:rsidRDefault="00BE7FAD" w:rsidP="0003043C">
            <w:pPr>
              <w:ind w:right="-119"/>
              <w:jc w:val="both"/>
              <w:rPr>
                <w:bCs/>
                <w:cs/>
                <w:lang w:val="en-GB"/>
              </w:rPr>
            </w:pPr>
            <w:proofErr w:type="spellStart"/>
            <w:r w:rsidRPr="00142FDE">
              <w:rPr>
                <w:bCs/>
                <w:lang w:val="en-GB"/>
              </w:rPr>
              <w:t>Rangsit</w:t>
            </w:r>
            <w:proofErr w:type="spellEnd"/>
            <w:r w:rsidRPr="00142FDE">
              <w:rPr>
                <w:bCs/>
                <w:lang w:val="en-GB"/>
              </w:rPr>
              <w:t xml:space="preserve"> Plaza Company Limited</w:t>
            </w:r>
          </w:p>
        </w:tc>
        <w:tc>
          <w:tcPr>
            <w:tcW w:w="1559" w:type="dxa"/>
            <w:tcBorders>
              <w:top w:val="nil"/>
              <w:left w:val="nil"/>
              <w:bottom w:val="nil"/>
              <w:right w:val="nil"/>
            </w:tcBorders>
          </w:tcPr>
          <w:p w14:paraId="1FF6906A" w14:textId="77777777" w:rsidR="00BE7FAD" w:rsidRPr="00142FDE" w:rsidRDefault="00BE7FAD" w:rsidP="0003043C">
            <w:pPr>
              <w:ind w:right="-72"/>
              <w:jc w:val="right"/>
              <w:rPr>
                <w:b/>
                <w:lang w:val="en-GB"/>
              </w:rPr>
            </w:pPr>
          </w:p>
        </w:tc>
        <w:tc>
          <w:tcPr>
            <w:tcW w:w="1523" w:type="dxa"/>
            <w:tcBorders>
              <w:top w:val="nil"/>
              <w:left w:val="nil"/>
              <w:bottom w:val="nil"/>
              <w:right w:val="nil"/>
            </w:tcBorders>
          </w:tcPr>
          <w:p w14:paraId="510F0800" w14:textId="77777777" w:rsidR="00BE7FAD" w:rsidRPr="00142FDE" w:rsidRDefault="00BE7FAD" w:rsidP="0003043C">
            <w:pPr>
              <w:ind w:right="-72"/>
              <w:jc w:val="right"/>
              <w:rPr>
                <w:b/>
                <w:lang w:val="en-GB"/>
              </w:rPr>
            </w:pPr>
          </w:p>
        </w:tc>
      </w:tr>
      <w:tr w:rsidR="00E24AAD" w:rsidRPr="00751136" w14:paraId="2D92E08F" w14:textId="77777777" w:rsidTr="00E24AAD">
        <w:tc>
          <w:tcPr>
            <w:tcW w:w="6062" w:type="dxa"/>
            <w:tcBorders>
              <w:top w:val="nil"/>
              <w:left w:val="nil"/>
              <w:bottom w:val="nil"/>
              <w:right w:val="nil"/>
            </w:tcBorders>
          </w:tcPr>
          <w:p w14:paraId="6AC466F4" w14:textId="77777777" w:rsidR="00E24AAD" w:rsidRPr="00142FDE" w:rsidRDefault="00E24AAD" w:rsidP="0003043C">
            <w:pPr>
              <w:ind w:right="-119"/>
              <w:jc w:val="both"/>
              <w:rPr>
                <w:lang w:val="en-GB"/>
              </w:rPr>
            </w:pPr>
            <w:proofErr w:type="gramStart"/>
            <w:r w:rsidRPr="00142FDE">
              <w:rPr>
                <w:lang w:val="en-GB"/>
              </w:rPr>
              <w:t>At</w:t>
            </w:r>
            <w:proofErr w:type="gramEnd"/>
            <w:r w:rsidRPr="00142FDE">
              <w:rPr>
                <w:lang w:val="en-GB"/>
              </w:rPr>
              <w:t xml:space="preserve"> 1 January</w:t>
            </w:r>
          </w:p>
        </w:tc>
        <w:tc>
          <w:tcPr>
            <w:tcW w:w="1559" w:type="dxa"/>
            <w:tcBorders>
              <w:top w:val="nil"/>
              <w:left w:val="nil"/>
              <w:bottom w:val="nil"/>
              <w:right w:val="nil"/>
            </w:tcBorders>
          </w:tcPr>
          <w:p w14:paraId="0BAE96D4" w14:textId="610070C6" w:rsidR="00E24AAD" w:rsidRPr="00142FDE" w:rsidRDefault="00E24AAD" w:rsidP="00722BB0">
            <w:pPr>
              <w:ind w:right="-72"/>
              <w:jc w:val="right"/>
              <w:rPr>
                <w:b/>
                <w:lang w:val="en-GB"/>
              </w:rPr>
            </w:pPr>
            <w:r w:rsidRPr="00142FDE">
              <w:t>6,344,466,407</w:t>
            </w:r>
          </w:p>
        </w:tc>
        <w:tc>
          <w:tcPr>
            <w:tcW w:w="1523" w:type="dxa"/>
            <w:tcBorders>
              <w:top w:val="nil"/>
              <w:left w:val="nil"/>
              <w:bottom w:val="nil"/>
              <w:right w:val="nil"/>
            </w:tcBorders>
          </w:tcPr>
          <w:p w14:paraId="43DD03FB" w14:textId="598188C6" w:rsidR="00E24AAD" w:rsidRPr="00142FDE" w:rsidRDefault="00E24AAD" w:rsidP="00722BB0">
            <w:pPr>
              <w:ind w:right="-72"/>
              <w:jc w:val="right"/>
              <w:rPr>
                <w:b/>
                <w:lang w:val="en-GB"/>
              </w:rPr>
            </w:pPr>
            <w:r w:rsidRPr="00142FDE">
              <w:t>-</w:t>
            </w:r>
          </w:p>
        </w:tc>
      </w:tr>
      <w:tr w:rsidR="00E24AAD" w:rsidRPr="00751136" w14:paraId="49E3ABBF" w14:textId="77777777" w:rsidTr="00E24AAD">
        <w:tc>
          <w:tcPr>
            <w:tcW w:w="6062" w:type="dxa"/>
            <w:tcBorders>
              <w:top w:val="nil"/>
              <w:left w:val="nil"/>
              <w:bottom w:val="nil"/>
              <w:right w:val="nil"/>
            </w:tcBorders>
          </w:tcPr>
          <w:p w14:paraId="5980A07B" w14:textId="77777777" w:rsidR="00E24AAD" w:rsidRPr="00142FDE" w:rsidRDefault="00E24AAD" w:rsidP="0003043C">
            <w:pPr>
              <w:ind w:right="-119"/>
              <w:jc w:val="both"/>
              <w:rPr>
                <w:bCs/>
                <w:lang w:val="en-GB"/>
              </w:rPr>
            </w:pPr>
            <w:r w:rsidRPr="00142FDE">
              <w:rPr>
                <w:bCs/>
                <w:lang w:val="en-GB"/>
              </w:rPr>
              <w:t>Interest expense</w:t>
            </w:r>
          </w:p>
        </w:tc>
        <w:tc>
          <w:tcPr>
            <w:tcW w:w="1559" w:type="dxa"/>
            <w:tcBorders>
              <w:top w:val="nil"/>
              <w:left w:val="nil"/>
              <w:bottom w:val="nil"/>
              <w:right w:val="nil"/>
            </w:tcBorders>
          </w:tcPr>
          <w:p w14:paraId="36997F9A" w14:textId="2CB52ADD" w:rsidR="00E24AAD" w:rsidRPr="00142FDE" w:rsidRDefault="00E24AAD" w:rsidP="00722BB0">
            <w:pPr>
              <w:ind w:right="-72"/>
              <w:jc w:val="right"/>
              <w:rPr>
                <w:b/>
                <w:lang w:val="en-GB"/>
              </w:rPr>
            </w:pPr>
            <w:r w:rsidRPr="00142FDE">
              <w:t>367,892,275</w:t>
            </w:r>
          </w:p>
        </w:tc>
        <w:tc>
          <w:tcPr>
            <w:tcW w:w="1523" w:type="dxa"/>
            <w:tcBorders>
              <w:top w:val="nil"/>
              <w:left w:val="nil"/>
              <w:bottom w:val="nil"/>
              <w:right w:val="nil"/>
            </w:tcBorders>
          </w:tcPr>
          <w:p w14:paraId="39C10685" w14:textId="3D7B1EE0" w:rsidR="00E24AAD" w:rsidRPr="00142FDE" w:rsidRDefault="00E24AAD" w:rsidP="00722BB0">
            <w:pPr>
              <w:ind w:right="-72"/>
              <w:jc w:val="right"/>
              <w:rPr>
                <w:b/>
                <w:lang w:val="en-GB"/>
              </w:rPr>
            </w:pPr>
            <w:r w:rsidRPr="00142FDE">
              <w:t>88,778,284</w:t>
            </w:r>
          </w:p>
        </w:tc>
      </w:tr>
      <w:tr w:rsidR="00E24AAD" w:rsidRPr="00751136" w14:paraId="1EB83CCA" w14:textId="77777777" w:rsidTr="00E24AAD">
        <w:tc>
          <w:tcPr>
            <w:tcW w:w="6062" w:type="dxa"/>
            <w:tcBorders>
              <w:top w:val="nil"/>
              <w:left w:val="nil"/>
              <w:bottom w:val="nil"/>
              <w:right w:val="nil"/>
            </w:tcBorders>
          </w:tcPr>
          <w:p w14:paraId="03D75955" w14:textId="452DE1D1" w:rsidR="00E24AAD" w:rsidRPr="00142FDE" w:rsidRDefault="00E24AAD" w:rsidP="0003043C">
            <w:pPr>
              <w:ind w:right="-119"/>
              <w:jc w:val="both"/>
              <w:rPr>
                <w:lang w:val="en-GB"/>
              </w:rPr>
            </w:pPr>
            <w:r w:rsidRPr="00142FDE">
              <w:rPr>
                <w:lang w:val="en-GB"/>
              </w:rPr>
              <w:t>Lease reassessment</w:t>
            </w:r>
          </w:p>
        </w:tc>
        <w:tc>
          <w:tcPr>
            <w:tcW w:w="1559" w:type="dxa"/>
            <w:tcBorders>
              <w:top w:val="nil"/>
              <w:left w:val="nil"/>
              <w:bottom w:val="nil"/>
              <w:right w:val="nil"/>
            </w:tcBorders>
          </w:tcPr>
          <w:p w14:paraId="778AD490" w14:textId="7D81530B" w:rsidR="00E24AAD" w:rsidRPr="00142FDE" w:rsidRDefault="00E24AAD" w:rsidP="00722BB0">
            <w:pPr>
              <w:ind w:right="-72"/>
              <w:jc w:val="right"/>
              <w:rPr>
                <w:b/>
                <w:lang w:val="en-GB"/>
              </w:rPr>
            </w:pPr>
            <w:r w:rsidRPr="00142FDE">
              <w:t>-</w:t>
            </w:r>
          </w:p>
        </w:tc>
        <w:tc>
          <w:tcPr>
            <w:tcW w:w="1523" w:type="dxa"/>
            <w:tcBorders>
              <w:top w:val="nil"/>
              <w:left w:val="nil"/>
              <w:bottom w:val="nil"/>
              <w:right w:val="nil"/>
            </w:tcBorders>
          </w:tcPr>
          <w:p w14:paraId="24098B7B" w14:textId="0E744859" w:rsidR="00E24AAD" w:rsidRPr="00142FDE" w:rsidRDefault="00E24AAD" w:rsidP="00722BB0">
            <w:pPr>
              <w:ind w:right="-72"/>
              <w:jc w:val="right"/>
              <w:rPr>
                <w:b/>
                <w:lang w:val="en-GB"/>
              </w:rPr>
            </w:pPr>
            <w:r w:rsidRPr="00142FDE">
              <w:t>6,255,688,123</w:t>
            </w:r>
          </w:p>
        </w:tc>
      </w:tr>
      <w:tr w:rsidR="00BE7FAD" w:rsidRPr="00142FDE" w14:paraId="5500EF2F" w14:textId="77777777" w:rsidTr="00E24AAD">
        <w:tc>
          <w:tcPr>
            <w:tcW w:w="6062" w:type="dxa"/>
            <w:tcBorders>
              <w:top w:val="nil"/>
              <w:left w:val="nil"/>
              <w:bottom w:val="nil"/>
              <w:right w:val="nil"/>
            </w:tcBorders>
          </w:tcPr>
          <w:p w14:paraId="3B0E0381" w14:textId="77777777" w:rsidR="00BE7FAD" w:rsidRPr="00142FDE" w:rsidRDefault="00BE7FAD" w:rsidP="0003043C">
            <w:pPr>
              <w:ind w:right="-119"/>
              <w:jc w:val="both"/>
              <w:rPr>
                <w:sz w:val="12"/>
                <w:szCs w:val="12"/>
                <w:lang w:val="en-GB"/>
              </w:rPr>
            </w:pPr>
          </w:p>
        </w:tc>
        <w:tc>
          <w:tcPr>
            <w:tcW w:w="1559" w:type="dxa"/>
            <w:tcBorders>
              <w:top w:val="single" w:sz="4" w:space="0" w:color="auto"/>
              <w:left w:val="nil"/>
              <w:bottom w:val="nil"/>
              <w:right w:val="nil"/>
            </w:tcBorders>
          </w:tcPr>
          <w:p w14:paraId="23A938D1" w14:textId="77777777" w:rsidR="00BE7FAD" w:rsidRPr="00142FDE" w:rsidRDefault="00BE7FAD" w:rsidP="00142FDE">
            <w:pPr>
              <w:ind w:right="-119"/>
              <w:jc w:val="both"/>
              <w:rPr>
                <w:sz w:val="12"/>
                <w:szCs w:val="12"/>
                <w:lang w:val="en-GB"/>
              </w:rPr>
            </w:pPr>
          </w:p>
        </w:tc>
        <w:tc>
          <w:tcPr>
            <w:tcW w:w="1523" w:type="dxa"/>
            <w:tcBorders>
              <w:top w:val="single" w:sz="4" w:space="0" w:color="auto"/>
              <w:left w:val="nil"/>
              <w:bottom w:val="nil"/>
              <w:right w:val="nil"/>
            </w:tcBorders>
          </w:tcPr>
          <w:p w14:paraId="2DF5724F" w14:textId="77777777" w:rsidR="00BE7FAD" w:rsidRPr="00142FDE" w:rsidRDefault="00BE7FAD" w:rsidP="00142FDE">
            <w:pPr>
              <w:ind w:right="-119"/>
              <w:jc w:val="both"/>
              <w:rPr>
                <w:sz w:val="12"/>
                <w:szCs w:val="12"/>
                <w:lang w:val="en-GB"/>
              </w:rPr>
            </w:pPr>
          </w:p>
        </w:tc>
      </w:tr>
      <w:tr w:rsidR="00E24AAD" w:rsidRPr="00751136" w14:paraId="2B013384" w14:textId="77777777" w:rsidTr="00E24AAD">
        <w:tc>
          <w:tcPr>
            <w:tcW w:w="6062" w:type="dxa"/>
            <w:tcBorders>
              <w:top w:val="nil"/>
              <w:left w:val="nil"/>
              <w:bottom w:val="nil"/>
              <w:right w:val="nil"/>
            </w:tcBorders>
          </w:tcPr>
          <w:p w14:paraId="1FE4B8D1" w14:textId="77777777" w:rsidR="00E24AAD" w:rsidRPr="00142FDE" w:rsidRDefault="00E24AAD" w:rsidP="0003043C">
            <w:pPr>
              <w:ind w:right="-119"/>
              <w:jc w:val="both"/>
              <w:rPr>
                <w:lang w:val="en-GB"/>
              </w:rPr>
            </w:pPr>
            <w:proofErr w:type="gramStart"/>
            <w:r w:rsidRPr="00142FDE">
              <w:rPr>
                <w:lang w:val="en-GB"/>
              </w:rPr>
              <w:t>At</w:t>
            </w:r>
            <w:proofErr w:type="gramEnd"/>
            <w:r w:rsidRPr="00142FDE">
              <w:rPr>
                <w:lang w:val="en-GB"/>
              </w:rPr>
              <w:t xml:space="preserve"> 31 December</w:t>
            </w:r>
          </w:p>
        </w:tc>
        <w:tc>
          <w:tcPr>
            <w:tcW w:w="1559" w:type="dxa"/>
            <w:tcBorders>
              <w:top w:val="nil"/>
              <w:left w:val="nil"/>
              <w:bottom w:val="single" w:sz="4" w:space="0" w:color="auto"/>
              <w:right w:val="nil"/>
            </w:tcBorders>
          </w:tcPr>
          <w:p w14:paraId="2492DC21" w14:textId="2E538D7E" w:rsidR="00E24AAD" w:rsidRPr="00142FDE" w:rsidRDefault="00E24AAD" w:rsidP="00722BB0">
            <w:pPr>
              <w:ind w:right="-72"/>
              <w:jc w:val="right"/>
              <w:rPr>
                <w:b/>
                <w:lang w:val="en-GB"/>
              </w:rPr>
            </w:pPr>
            <w:r w:rsidRPr="00142FDE">
              <w:t>6,712,358,682</w:t>
            </w:r>
          </w:p>
        </w:tc>
        <w:tc>
          <w:tcPr>
            <w:tcW w:w="1523" w:type="dxa"/>
            <w:tcBorders>
              <w:top w:val="nil"/>
              <w:left w:val="nil"/>
              <w:bottom w:val="single" w:sz="4" w:space="0" w:color="auto"/>
              <w:right w:val="nil"/>
            </w:tcBorders>
          </w:tcPr>
          <w:p w14:paraId="3113AC4A" w14:textId="5667F549" w:rsidR="00E24AAD" w:rsidRPr="00142FDE" w:rsidRDefault="00E24AAD" w:rsidP="00722BB0">
            <w:pPr>
              <w:ind w:right="-72"/>
              <w:jc w:val="right"/>
              <w:rPr>
                <w:b/>
                <w:lang w:val="en-GB"/>
              </w:rPr>
            </w:pPr>
            <w:r w:rsidRPr="00142FDE">
              <w:t>6,344,466,407</w:t>
            </w:r>
          </w:p>
        </w:tc>
      </w:tr>
    </w:tbl>
    <w:p w14:paraId="0265A787" w14:textId="77777777" w:rsidR="002C759A" w:rsidRPr="00751136" w:rsidRDefault="002C759A" w:rsidP="00722BB0">
      <w:pPr>
        <w:pStyle w:val="BodyTextIndent"/>
        <w:ind w:left="0"/>
        <w:rPr>
          <w:color w:val="auto"/>
          <w:sz w:val="16"/>
          <w:szCs w:val="16"/>
        </w:rPr>
      </w:pPr>
    </w:p>
    <w:p w14:paraId="1CE936EC" w14:textId="77777777" w:rsidR="00722BB0" w:rsidRPr="00751136" w:rsidRDefault="00722BB0" w:rsidP="00722BB0">
      <w:pPr>
        <w:pStyle w:val="BodyTextIndent"/>
        <w:ind w:left="0"/>
        <w:rPr>
          <w:color w:val="auto"/>
          <w:sz w:val="16"/>
          <w:szCs w:val="16"/>
        </w:rPr>
      </w:pPr>
    </w:p>
    <w:p w14:paraId="3DF3F457" w14:textId="0B06BF65" w:rsidR="002324FE" w:rsidRPr="00751136" w:rsidRDefault="002324FE" w:rsidP="0003043C">
      <w:pPr>
        <w:ind w:left="540" w:hanging="540"/>
        <w:rPr>
          <w:b/>
          <w:bCs/>
        </w:rPr>
      </w:pPr>
      <w:r w:rsidRPr="00751136">
        <w:rPr>
          <w:b/>
          <w:bCs/>
          <w:lang w:val="en-GB"/>
        </w:rPr>
        <w:t>13</w:t>
      </w:r>
      <w:r w:rsidRPr="00751136">
        <w:rPr>
          <w:b/>
          <w:bCs/>
        </w:rPr>
        <w:tab/>
        <w:t>Distribution to unitholders</w:t>
      </w:r>
    </w:p>
    <w:p w14:paraId="52F185B8" w14:textId="77777777" w:rsidR="002324FE" w:rsidRPr="00751136" w:rsidRDefault="002324FE" w:rsidP="0003043C">
      <w:pPr>
        <w:pStyle w:val="BodyTextIndent"/>
        <w:ind w:left="0"/>
        <w:rPr>
          <w:color w:val="auto"/>
          <w:sz w:val="16"/>
          <w:szCs w:val="16"/>
        </w:rPr>
      </w:pPr>
    </w:p>
    <w:p w14:paraId="16A3D510" w14:textId="4DA42A18" w:rsidR="002324FE" w:rsidRPr="00751136" w:rsidRDefault="002324FE" w:rsidP="0003043C">
      <w:pPr>
        <w:pStyle w:val="BodyTextIndent"/>
        <w:ind w:left="0"/>
        <w:rPr>
          <w:szCs w:val="20"/>
          <w:lang w:val="en-GB"/>
        </w:rPr>
      </w:pPr>
      <w:r w:rsidRPr="00751136">
        <w:rPr>
          <w:szCs w:val="20"/>
          <w:lang w:val="en-GB"/>
        </w:rPr>
        <w:t xml:space="preserve">During the </w:t>
      </w:r>
      <w:r w:rsidR="00952DD5" w:rsidRPr="00751136">
        <w:rPr>
          <w:szCs w:val="20"/>
          <w:lang w:val="en-GB"/>
        </w:rPr>
        <w:t>year</w:t>
      </w:r>
      <w:r w:rsidRPr="00751136">
        <w:rPr>
          <w:szCs w:val="20"/>
          <w:lang w:val="en-GB"/>
        </w:rPr>
        <w:t>, the Trust paid dividends to the unitholders as follows:</w:t>
      </w:r>
    </w:p>
    <w:p w14:paraId="26318BE6" w14:textId="77777777" w:rsidR="002324FE" w:rsidRPr="00751136" w:rsidRDefault="002324FE" w:rsidP="0003043C">
      <w:pPr>
        <w:pStyle w:val="BodyTextIndent"/>
        <w:ind w:left="0"/>
        <w:rPr>
          <w:color w:val="auto"/>
          <w:sz w:val="16"/>
          <w:szCs w:val="16"/>
        </w:rPr>
      </w:pPr>
    </w:p>
    <w:tbl>
      <w:tblPr>
        <w:tblW w:w="9031" w:type="dxa"/>
        <w:tblInd w:w="108" w:type="dxa"/>
        <w:tblLayout w:type="fixed"/>
        <w:tblLook w:val="0000" w:firstRow="0" w:lastRow="0" w:firstColumn="0" w:lastColumn="0" w:noHBand="0" w:noVBand="0"/>
      </w:tblPr>
      <w:tblGrid>
        <w:gridCol w:w="2304"/>
        <w:gridCol w:w="3773"/>
        <w:gridCol w:w="1560"/>
        <w:gridCol w:w="1394"/>
      </w:tblGrid>
      <w:tr w:rsidR="002324FE" w:rsidRPr="00751136" w14:paraId="6D23EE86" w14:textId="77777777" w:rsidTr="00722BB0">
        <w:tc>
          <w:tcPr>
            <w:tcW w:w="2304" w:type="dxa"/>
            <w:vAlign w:val="bottom"/>
          </w:tcPr>
          <w:p w14:paraId="55D0BC29" w14:textId="77777777" w:rsidR="002324FE" w:rsidRPr="00751136" w:rsidRDefault="002324FE" w:rsidP="0003043C">
            <w:pPr>
              <w:ind w:left="-58" w:right="-72"/>
              <w:jc w:val="center"/>
              <w:rPr>
                <w:b/>
                <w:bCs/>
                <w:lang w:val="en-GB"/>
              </w:rPr>
            </w:pPr>
          </w:p>
        </w:tc>
        <w:tc>
          <w:tcPr>
            <w:tcW w:w="3773" w:type="dxa"/>
            <w:vAlign w:val="bottom"/>
          </w:tcPr>
          <w:p w14:paraId="43CF6748" w14:textId="77777777" w:rsidR="002324FE" w:rsidRPr="00751136" w:rsidRDefault="002324FE" w:rsidP="0003043C">
            <w:pPr>
              <w:pStyle w:val="Heading5"/>
              <w:ind w:right="-72"/>
            </w:pPr>
          </w:p>
        </w:tc>
        <w:tc>
          <w:tcPr>
            <w:tcW w:w="1560" w:type="dxa"/>
            <w:vAlign w:val="bottom"/>
          </w:tcPr>
          <w:p w14:paraId="06BA0EB3" w14:textId="77777777" w:rsidR="002324FE" w:rsidRPr="00751136" w:rsidRDefault="002324FE" w:rsidP="0003043C">
            <w:pPr>
              <w:ind w:right="-72"/>
              <w:jc w:val="right"/>
              <w:rPr>
                <w:b/>
                <w:bCs/>
                <w:lang w:val="en-GB"/>
              </w:rPr>
            </w:pPr>
          </w:p>
        </w:tc>
        <w:tc>
          <w:tcPr>
            <w:tcW w:w="1394" w:type="dxa"/>
            <w:vAlign w:val="bottom"/>
          </w:tcPr>
          <w:p w14:paraId="2AD29ED4" w14:textId="77777777" w:rsidR="002324FE" w:rsidRPr="00751136" w:rsidRDefault="002324FE" w:rsidP="0003043C">
            <w:pPr>
              <w:pStyle w:val="Heading4"/>
              <w:tabs>
                <w:tab w:val="clear" w:pos="864"/>
              </w:tabs>
              <w:jc w:val="right"/>
              <w:rPr>
                <w:szCs w:val="20"/>
              </w:rPr>
            </w:pPr>
            <w:r w:rsidRPr="00751136">
              <w:rPr>
                <w:szCs w:val="20"/>
              </w:rPr>
              <w:t>2025</w:t>
            </w:r>
          </w:p>
        </w:tc>
      </w:tr>
      <w:tr w:rsidR="002324FE" w:rsidRPr="00751136" w14:paraId="7C1565A1" w14:textId="77777777" w:rsidTr="00722BB0">
        <w:tc>
          <w:tcPr>
            <w:tcW w:w="2304" w:type="dxa"/>
            <w:tcBorders>
              <w:bottom w:val="single" w:sz="4" w:space="0" w:color="auto"/>
            </w:tcBorders>
            <w:vAlign w:val="bottom"/>
          </w:tcPr>
          <w:p w14:paraId="16827DC6" w14:textId="77777777" w:rsidR="002324FE" w:rsidRPr="00751136" w:rsidRDefault="002324FE" w:rsidP="0003043C">
            <w:pPr>
              <w:ind w:left="-58" w:right="-72"/>
              <w:jc w:val="center"/>
              <w:rPr>
                <w:b/>
                <w:bCs/>
                <w:lang w:val="en-GB"/>
              </w:rPr>
            </w:pPr>
            <w:r w:rsidRPr="00751136">
              <w:rPr>
                <w:b/>
                <w:bCs/>
                <w:lang w:val="en-GB"/>
              </w:rPr>
              <w:t>Declaration date</w:t>
            </w:r>
          </w:p>
        </w:tc>
        <w:tc>
          <w:tcPr>
            <w:tcW w:w="3773" w:type="dxa"/>
            <w:tcBorders>
              <w:bottom w:val="single" w:sz="4" w:space="0" w:color="auto"/>
            </w:tcBorders>
            <w:vAlign w:val="bottom"/>
          </w:tcPr>
          <w:p w14:paraId="271FC868" w14:textId="77777777" w:rsidR="002324FE" w:rsidRPr="00751136" w:rsidRDefault="002324FE" w:rsidP="0003043C">
            <w:pPr>
              <w:ind w:right="-72"/>
              <w:jc w:val="center"/>
              <w:rPr>
                <w:b/>
                <w:bCs/>
                <w:lang w:val="en-GB"/>
              </w:rPr>
            </w:pPr>
            <w:r w:rsidRPr="00751136">
              <w:rPr>
                <w:b/>
                <w:bCs/>
              </w:rPr>
              <w:t>The operation for the period</w:t>
            </w:r>
          </w:p>
        </w:tc>
        <w:tc>
          <w:tcPr>
            <w:tcW w:w="1560" w:type="dxa"/>
            <w:tcBorders>
              <w:bottom w:val="single" w:sz="4" w:space="0" w:color="auto"/>
            </w:tcBorders>
            <w:vAlign w:val="bottom"/>
          </w:tcPr>
          <w:p w14:paraId="09580F75" w14:textId="77777777" w:rsidR="002324FE" w:rsidRPr="00751136" w:rsidRDefault="002324FE" w:rsidP="0003043C">
            <w:pPr>
              <w:ind w:right="-72"/>
              <w:jc w:val="right"/>
              <w:rPr>
                <w:b/>
                <w:bCs/>
                <w:lang w:val="en-GB"/>
              </w:rPr>
            </w:pPr>
            <w:r w:rsidRPr="00751136">
              <w:rPr>
                <w:b/>
                <w:bCs/>
                <w:lang w:val="en-GB"/>
              </w:rPr>
              <w:t>Per unit Baht</w:t>
            </w:r>
          </w:p>
        </w:tc>
        <w:tc>
          <w:tcPr>
            <w:tcW w:w="1394" w:type="dxa"/>
            <w:tcBorders>
              <w:bottom w:val="single" w:sz="4" w:space="0" w:color="auto"/>
            </w:tcBorders>
            <w:vAlign w:val="bottom"/>
          </w:tcPr>
          <w:p w14:paraId="1255AE88" w14:textId="77777777" w:rsidR="002324FE" w:rsidRPr="00751136" w:rsidRDefault="002324FE" w:rsidP="0003043C">
            <w:pPr>
              <w:pStyle w:val="Heading4"/>
              <w:tabs>
                <w:tab w:val="clear" w:pos="864"/>
              </w:tabs>
              <w:jc w:val="right"/>
              <w:rPr>
                <w:szCs w:val="20"/>
              </w:rPr>
            </w:pPr>
            <w:r w:rsidRPr="00751136">
              <w:rPr>
                <w:szCs w:val="20"/>
              </w:rPr>
              <w:t>Million Baht</w:t>
            </w:r>
          </w:p>
        </w:tc>
      </w:tr>
      <w:tr w:rsidR="002324FE" w:rsidRPr="00751136" w14:paraId="2193DE09" w14:textId="77777777" w:rsidTr="00722BB0">
        <w:tc>
          <w:tcPr>
            <w:tcW w:w="2304" w:type="dxa"/>
            <w:tcBorders>
              <w:top w:val="single" w:sz="4" w:space="0" w:color="auto"/>
            </w:tcBorders>
            <w:vAlign w:val="bottom"/>
          </w:tcPr>
          <w:p w14:paraId="5BE8C39A" w14:textId="77777777" w:rsidR="002324FE" w:rsidRPr="00751136" w:rsidRDefault="002324FE" w:rsidP="0003043C">
            <w:pPr>
              <w:ind w:left="-58" w:right="-72"/>
              <w:jc w:val="center"/>
              <w:rPr>
                <w:sz w:val="12"/>
                <w:szCs w:val="12"/>
                <w:lang w:val="en-GB"/>
              </w:rPr>
            </w:pPr>
          </w:p>
        </w:tc>
        <w:tc>
          <w:tcPr>
            <w:tcW w:w="3773" w:type="dxa"/>
            <w:tcBorders>
              <w:top w:val="single" w:sz="4" w:space="0" w:color="auto"/>
            </w:tcBorders>
            <w:vAlign w:val="bottom"/>
          </w:tcPr>
          <w:p w14:paraId="0BA4DD5D" w14:textId="77777777" w:rsidR="002324FE" w:rsidRPr="00751136" w:rsidRDefault="002324FE" w:rsidP="0003043C">
            <w:pPr>
              <w:pStyle w:val="Header"/>
              <w:tabs>
                <w:tab w:val="clear" w:pos="4153"/>
                <w:tab w:val="clear" w:pos="8306"/>
              </w:tabs>
              <w:ind w:right="-72"/>
              <w:rPr>
                <w:sz w:val="12"/>
                <w:szCs w:val="12"/>
                <w:lang w:val="en-GB"/>
              </w:rPr>
            </w:pPr>
          </w:p>
        </w:tc>
        <w:tc>
          <w:tcPr>
            <w:tcW w:w="1560" w:type="dxa"/>
            <w:tcBorders>
              <w:top w:val="single" w:sz="4" w:space="0" w:color="auto"/>
            </w:tcBorders>
            <w:vAlign w:val="bottom"/>
          </w:tcPr>
          <w:p w14:paraId="4ECCFA46" w14:textId="77777777" w:rsidR="002324FE" w:rsidRPr="00751136" w:rsidRDefault="002324FE" w:rsidP="0003043C">
            <w:pPr>
              <w:ind w:right="-72"/>
              <w:jc w:val="center"/>
              <w:rPr>
                <w:sz w:val="12"/>
                <w:szCs w:val="12"/>
                <w:lang w:val="en-GB"/>
              </w:rPr>
            </w:pPr>
          </w:p>
        </w:tc>
        <w:tc>
          <w:tcPr>
            <w:tcW w:w="1394" w:type="dxa"/>
            <w:tcBorders>
              <w:top w:val="single" w:sz="4" w:space="0" w:color="auto"/>
            </w:tcBorders>
            <w:vAlign w:val="bottom"/>
          </w:tcPr>
          <w:p w14:paraId="28AA1FD4" w14:textId="77777777" w:rsidR="002324FE" w:rsidRPr="00751136" w:rsidRDefault="002324FE" w:rsidP="0003043C">
            <w:pPr>
              <w:ind w:right="-72"/>
              <w:jc w:val="right"/>
              <w:rPr>
                <w:sz w:val="12"/>
                <w:szCs w:val="12"/>
                <w:lang w:val="en-GB"/>
              </w:rPr>
            </w:pPr>
          </w:p>
        </w:tc>
      </w:tr>
      <w:tr w:rsidR="002324FE" w:rsidRPr="00751136" w14:paraId="3E9B8C86" w14:textId="77777777" w:rsidTr="00722BB0">
        <w:tc>
          <w:tcPr>
            <w:tcW w:w="2304" w:type="dxa"/>
          </w:tcPr>
          <w:p w14:paraId="40B9C6D4" w14:textId="77777777" w:rsidR="002324FE" w:rsidRPr="00751136" w:rsidRDefault="002324FE" w:rsidP="0003043C">
            <w:pPr>
              <w:ind w:left="-58" w:right="-72"/>
              <w:rPr>
                <w:lang w:val="en-GB"/>
              </w:rPr>
            </w:pPr>
            <w:r w:rsidRPr="00751136">
              <w:rPr>
                <w:lang w:val="en-GB"/>
              </w:rPr>
              <w:t>26 February 2025</w:t>
            </w:r>
          </w:p>
        </w:tc>
        <w:tc>
          <w:tcPr>
            <w:tcW w:w="3773" w:type="dxa"/>
          </w:tcPr>
          <w:p w14:paraId="320D7867" w14:textId="77777777" w:rsidR="002324FE" w:rsidRPr="00751136" w:rsidRDefault="002324FE" w:rsidP="0003043C">
            <w:pPr>
              <w:pStyle w:val="Header"/>
              <w:tabs>
                <w:tab w:val="clear" w:pos="4153"/>
                <w:tab w:val="clear" w:pos="8306"/>
              </w:tabs>
              <w:ind w:right="-72"/>
              <w:rPr>
                <w:lang w:val="en-GB"/>
              </w:rPr>
            </w:pPr>
            <w:r w:rsidRPr="00751136">
              <w:t>1 October 2024 to 31 December 2024</w:t>
            </w:r>
          </w:p>
        </w:tc>
        <w:tc>
          <w:tcPr>
            <w:tcW w:w="1560" w:type="dxa"/>
          </w:tcPr>
          <w:p w14:paraId="49D0C289" w14:textId="49FBC5EA" w:rsidR="002324FE" w:rsidRPr="00751136" w:rsidRDefault="002324FE" w:rsidP="00722BB0">
            <w:pPr>
              <w:ind w:right="-72"/>
              <w:jc w:val="right"/>
              <w:rPr>
                <w:lang w:val="en-GB"/>
              </w:rPr>
            </w:pPr>
            <w:r w:rsidRPr="00751136">
              <w:t>0.243846</w:t>
            </w:r>
          </w:p>
        </w:tc>
        <w:tc>
          <w:tcPr>
            <w:tcW w:w="1394" w:type="dxa"/>
          </w:tcPr>
          <w:p w14:paraId="68C3E7AB" w14:textId="0CC30ABD" w:rsidR="002324FE" w:rsidRPr="00751136" w:rsidRDefault="002324FE" w:rsidP="00722BB0">
            <w:pPr>
              <w:pStyle w:val="BodyTextIndent"/>
              <w:ind w:left="0" w:right="-72"/>
              <w:jc w:val="right"/>
              <w:rPr>
                <w:szCs w:val="20"/>
              </w:rPr>
            </w:pPr>
            <w:r w:rsidRPr="00751136">
              <w:rPr>
                <w:szCs w:val="20"/>
              </w:rPr>
              <w:t>129.13</w:t>
            </w:r>
          </w:p>
        </w:tc>
      </w:tr>
      <w:tr w:rsidR="002324FE" w:rsidRPr="00751136" w14:paraId="47C17D3E" w14:textId="77777777" w:rsidTr="00722BB0">
        <w:tc>
          <w:tcPr>
            <w:tcW w:w="2304" w:type="dxa"/>
          </w:tcPr>
          <w:p w14:paraId="706ABEC1" w14:textId="77777777" w:rsidR="002324FE" w:rsidRPr="00751136" w:rsidRDefault="002324FE" w:rsidP="0003043C">
            <w:pPr>
              <w:ind w:left="-58" w:right="-72"/>
              <w:rPr>
                <w:lang w:val="en-GB"/>
              </w:rPr>
            </w:pPr>
            <w:r w:rsidRPr="00751136">
              <w:rPr>
                <w:lang w:val="en-GB"/>
              </w:rPr>
              <w:t>15 May 2025</w:t>
            </w:r>
          </w:p>
        </w:tc>
        <w:tc>
          <w:tcPr>
            <w:tcW w:w="3773" w:type="dxa"/>
          </w:tcPr>
          <w:p w14:paraId="4A24D64B" w14:textId="77777777" w:rsidR="002324FE" w:rsidRPr="00751136" w:rsidRDefault="002324FE" w:rsidP="0003043C">
            <w:pPr>
              <w:pStyle w:val="Header"/>
              <w:tabs>
                <w:tab w:val="clear" w:pos="4153"/>
                <w:tab w:val="clear" w:pos="8306"/>
              </w:tabs>
              <w:ind w:right="-72"/>
              <w:rPr>
                <w:lang w:val="en-GB"/>
              </w:rPr>
            </w:pPr>
            <w:r w:rsidRPr="00751136">
              <w:rPr>
                <w:lang w:val="en-GB"/>
              </w:rPr>
              <w:t>1 January 2025 to 31 March 2025</w:t>
            </w:r>
          </w:p>
        </w:tc>
        <w:tc>
          <w:tcPr>
            <w:tcW w:w="1560" w:type="dxa"/>
          </w:tcPr>
          <w:p w14:paraId="023DCF8B" w14:textId="07F508D1" w:rsidR="002324FE" w:rsidRPr="00751136" w:rsidRDefault="002324FE" w:rsidP="00722BB0">
            <w:pPr>
              <w:ind w:right="-72"/>
              <w:jc w:val="right"/>
              <w:rPr>
                <w:lang w:val="en-GB"/>
              </w:rPr>
            </w:pPr>
            <w:r w:rsidRPr="00751136">
              <w:t>0.244665</w:t>
            </w:r>
          </w:p>
        </w:tc>
        <w:tc>
          <w:tcPr>
            <w:tcW w:w="1394" w:type="dxa"/>
          </w:tcPr>
          <w:p w14:paraId="184FC83D" w14:textId="1F041289" w:rsidR="002324FE" w:rsidRPr="00751136" w:rsidRDefault="002324FE" w:rsidP="00722BB0">
            <w:pPr>
              <w:pStyle w:val="BodyTextIndent"/>
              <w:ind w:left="0" w:right="-72"/>
              <w:jc w:val="right"/>
              <w:rPr>
                <w:szCs w:val="20"/>
              </w:rPr>
            </w:pPr>
            <w:r w:rsidRPr="00751136">
              <w:rPr>
                <w:szCs w:val="20"/>
              </w:rPr>
              <w:t>129.57</w:t>
            </w:r>
          </w:p>
        </w:tc>
      </w:tr>
      <w:tr w:rsidR="002324FE" w:rsidRPr="00751136" w14:paraId="6F1EBC2E" w14:textId="77777777" w:rsidTr="00722BB0">
        <w:tc>
          <w:tcPr>
            <w:tcW w:w="2304" w:type="dxa"/>
          </w:tcPr>
          <w:p w14:paraId="64EE7D07" w14:textId="77777777" w:rsidR="002324FE" w:rsidRPr="00751136" w:rsidRDefault="002324FE" w:rsidP="0003043C">
            <w:pPr>
              <w:ind w:left="-58" w:right="-72"/>
              <w:rPr>
                <w:lang w:val="en-GB"/>
              </w:rPr>
            </w:pPr>
            <w:r w:rsidRPr="00751136">
              <w:rPr>
                <w:lang w:val="en-GB"/>
              </w:rPr>
              <w:t>14 August 2025</w:t>
            </w:r>
          </w:p>
        </w:tc>
        <w:tc>
          <w:tcPr>
            <w:tcW w:w="3773" w:type="dxa"/>
          </w:tcPr>
          <w:p w14:paraId="2C3F56A7" w14:textId="77777777" w:rsidR="002324FE" w:rsidRPr="00751136" w:rsidRDefault="002324FE" w:rsidP="0003043C">
            <w:pPr>
              <w:pStyle w:val="Header"/>
              <w:tabs>
                <w:tab w:val="clear" w:pos="4153"/>
                <w:tab w:val="clear" w:pos="8306"/>
              </w:tabs>
              <w:ind w:right="-72"/>
              <w:rPr>
                <w:lang w:val="en-GB"/>
              </w:rPr>
            </w:pPr>
            <w:r w:rsidRPr="00751136">
              <w:rPr>
                <w:lang w:val="en-GB"/>
              </w:rPr>
              <w:t>1 April 2025 to 30 June 2025</w:t>
            </w:r>
          </w:p>
        </w:tc>
        <w:tc>
          <w:tcPr>
            <w:tcW w:w="1560" w:type="dxa"/>
          </w:tcPr>
          <w:p w14:paraId="14EC07BB" w14:textId="3013204A" w:rsidR="002324FE" w:rsidRPr="00751136" w:rsidRDefault="002324FE" w:rsidP="00722BB0">
            <w:pPr>
              <w:ind w:right="-72"/>
              <w:jc w:val="right"/>
              <w:rPr>
                <w:lang w:val="en-GB"/>
              </w:rPr>
            </w:pPr>
            <w:r w:rsidRPr="00751136">
              <w:t>0.279592</w:t>
            </w:r>
          </w:p>
        </w:tc>
        <w:tc>
          <w:tcPr>
            <w:tcW w:w="1394" w:type="dxa"/>
          </w:tcPr>
          <w:p w14:paraId="3DF15A37" w14:textId="3E07DBEA" w:rsidR="002324FE" w:rsidRPr="00751136" w:rsidRDefault="002324FE" w:rsidP="00722BB0">
            <w:pPr>
              <w:pStyle w:val="BodyTextIndent"/>
              <w:ind w:left="0" w:right="-72"/>
              <w:jc w:val="right"/>
              <w:rPr>
                <w:szCs w:val="20"/>
              </w:rPr>
            </w:pPr>
            <w:r w:rsidRPr="00751136">
              <w:rPr>
                <w:szCs w:val="20"/>
              </w:rPr>
              <w:t>148.06</w:t>
            </w:r>
          </w:p>
        </w:tc>
      </w:tr>
      <w:tr w:rsidR="004860A9" w:rsidRPr="00751136" w14:paraId="5F1B7372" w14:textId="77777777" w:rsidTr="00722BB0">
        <w:tc>
          <w:tcPr>
            <w:tcW w:w="2304" w:type="dxa"/>
          </w:tcPr>
          <w:p w14:paraId="09262680" w14:textId="648D11A5" w:rsidR="004860A9" w:rsidRPr="00751136" w:rsidRDefault="004860A9" w:rsidP="0003043C">
            <w:pPr>
              <w:ind w:left="-58" w:right="-72"/>
            </w:pPr>
            <w:r w:rsidRPr="00751136">
              <w:t>13 November 2025</w:t>
            </w:r>
          </w:p>
        </w:tc>
        <w:tc>
          <w:tcPr>
            <w:tcW w:w="3773" w:type="dxa"/>
          </w:tcPr>
          <w:p w14:paraId="179FC4A9" w14:textId="589A5A74" w:rsidR="004860A9" w:rsidRPr="00751136" w:rsidRDefault="004860A9" w:rsidP="0003043C">
            <w:pPr>
              <w:pStyle w:val="Header"/>
              <w:tabs>
                <w:tab w:val="clear" w:pos="4153"/>
                <w:tab w:val="clear" w:pos="8306"/>
              </w:tabs>
              <w:ind w:right="-72"/>
            </w:pPr>
            <w:r w:rsidRPr="00751136">
              <w:t>1 July 2025 to 30 September 2025</w:t>
            </w:r>
          </w:p>
        </w:tc>
        <w:tc>
          <w:tcPr>
            <w:tcW w:w="1560" w:type="dxa"/>
          </w:tcPr>
          <w:p w14:paraId="674837CC" w14:textId="37EE2103" w:rsidR="004860A9" w:rsidRPr="00751136" w:rsidRDefault="004860A9" w:rsidP="00722BB0">
            <w:pPr>
              <w:ind w:right="-72"/>
              <w:jc w:val="right"/>
              <w:rPr>
                <w:lang w:val="en-GB"/>
              </w:rPr>
            </w:pPr>
            <w:r w:rsidRPr="00751136">
              <w:t>0.201585</w:t>
            </w:r>
          </w:p>
        </w:tc>
        <w:tc>
          <w:tcPr>
            <w:tcW w:w="1394" w:type="dxa"/>
            <w:tcBorders>
              <w:bottom w:val="single" w:sz="4" w:space="0" w:color="auto"/>
            </w:tcBorders>
          </w:tcPr>
          <w:p w14:paraId="589173FC" w14:textId="457536BF" w:rsidR="004860A9" w:rsidRPr="00751136" w:rsidRDefault="004860A9" w:rsidP="00722BB0">
            <w:pPr>
              <w:ind w:right="-72"/>
              <w:jc w:val="right"/>
            </w:pPr>
            <w:r w:rsidRPr="00751136">
              <w:t>106.75</w:t>
            </w:r>
          </w:p>
        </w:tc>
      </w:tr>
      <w:tr w:rsidR="00052359" w:rsidRPr="00751136" w14:paraId="0155D5C3" w14:textId="77777777" w:rsidTr="00722BB0">
        <w:tc>
          <w:tcPr>
            <w:tcW w:w="2304" w:type="dxa"/>
          </w:tcPr>
          <w:p w14:paraId="23A9F95C" w14:textId="77777777" w:rsidR="00052359" w:rsidRPr="00751136" w:rsidRDefault="00052359" w:rsidP="0003043C">
            <w:pPr>
              <w:ind w:left="-58" w:right="-72"/>
              <w:rPr>
                <w:sz w:val="12"/>
                <w:szCs w:val="12"/>
              </w:rPr>
            </w:pPr>
          </w:p>
        </w:tc>
        <w:tc>
          <w:tcPr>
            <w:tcW w:w="3773" w:type="dxa"/>
          </w:tcPr>
          <w:p w14:paraId="4AD003E1" w14:textId="77777777" w:rsidR="00052359" w:rsidRPr="00751136" w:rsidRDefault="00052359" w:rsidP="0003043C">
            <w:pPr>
              <w:pStyle w:val="Header"/>
              <w:tabs>
                <w:tab w:val="clear" w:pos="4153"/>
                <w:tab w:val="clear" w:pos="8306"/>
              </w:tabs>
              <w:ind w:right="-72"/>
              <w:rPr>
                <w:sz w:val="12"/>
                <w:szCs w:val="12"/>
              </w:rPr>
            </w:pPr>
          </w:p>
        </w:tc>
        <w:tc>
          <w:tcPr>
            <w:tcW w:w="1560" w:type="dxa"/>
          </w:tcPr>
          <w:p w14:paraId="2931B731" w14:textId="77777777" w:rsidR="00052359" w:rsidRPr="00751136" w:rsidRDefault="00052359" w:rsidP="00722BB0">
            <w:pPr>
              <w:ind w:right="-72"/>
              <w:jc w:val="right"/>
              <w:rPr>
                <w:sz w:val="12"/>
                <w:szCs w:val="12"/>
              </w:rPr>
            </w:pPr>
          </w:p>
        </w:tc>
        <w:tc>
          <w:tcPr>
            <w:tcW w:w="1394" w:type="dxa"/>
            <w:tcBorders>
              <w:top w:val="single" w:sz="4" w:space="0" w:color="auto"/>
            </w:tcBorders>
          </w:tcPr>
          <w:p w14:paraId="734D8E37" w14:textId="77777777" w:rsidR="00052359" w:rsidRPr="00751136" w:rsidRDefault="00052359" w:rsidP="00722BB0">
            <w:pPr>
              <w:ind w:right="-72"/>
              <w:jc w:val="right"/>
              <w:rPr>
                <w:sz w:val="12"/>
                <w:szCs w:val="12"/>
              </w:rPr>
            </w:pPr>
          </w:p>
        </w:tc>
      </w:tr>
      <w:tr w:rsidR="002324FE" w:rsidRPr="00751136" w14:paraId="3E0520DA" w14:textId="77777777" w:rsidTr="00722BB0">
        <w:tc>
          <w:tcPr>
            <w:tcW w:w="2304" w:type="dxa"/>
            <w:vAlign w:val="bottom"/>
          </w:tcPr>
          <w:p w14:paraId="3B28C1A5" w14:textId="77777777" w:rsidR="002324FE" w:rsidRPr="00751136" w:rsidRDefault="002324FE" w:rsidP="0003043C">
            <w:pPr>
              <w:ind w:left="-58" w:right="-72"/>
              <w:jc w:val="center"/>
              <w:rPr>
                <w:lang w:val="en-GB"/>
              </w:rPr>
            </w:pPr>
          </w:p>
        </w:tc>
        <w:tc>
          <w:tcPr>
            <w:tcW w:w="3773" w:type="dxa"/>
            <w:vAlign w:val="bottom"/>
          </w:tcPr>
          <w:p w14:paraId="259999A1" w14:textId="77777777" w:rsidR="002324FE" w:rsidRPr="00751136" w:rsidRDefault="002324FE" w:rsidP="0003043C">
            <w:pPr>
              <w:pStyle w:val="Header"/>
              <w:tabs>
                <w:tab w:val="clear" w:pos="4153"/>
                <w:tab w:val="clear" w:pos="8306"/>
              </w:tabs>
              <w:ind w:right="-72"/>
              <w:jc w:val="center"/>
              <w:rPr>
                <w:spacing w:val="-4"/>
              </w:rPr>
            </w:pPr>
          </w:p>
        </w:tc>
        <w:tc>
          <w:tcPr>
            <w:tcW w:w="1560" w:type="dxa"/>
            <w:vAlign w:val="bottom"/>
          </w:tcPr>
          <w:p w14:paraId="10A7824B" w14:textId="77777777" w:rsidR="002324FE" w:rsidRPr="00751136" w:rsidRDefault="002324FE" w:rsidP="00722BB0">
            <w:pPr>
              <w:ind w:right="-72"/>
              <w:jc w:val="right"/>
              <w:rPr>
                <w:lang w:val="en-GB"/>
              </w:rPr>
            </w:pPr>
          </w:p>
        </w:tc>
        <w:tc>
          <w:tcPr>
            <w:tcW w:w="1394" w:type="dxa"/>
            <w:tcBorders>
              <w:bottom w:val="single" w:sz="4" w:space="0" w:color="auto"/>
            </w:tcBorders>
            <w:vAlign w:val="bottom"/>
          </w:tcPr>
          <w:p w14:paraId="053E31B2" w14:textId="5612E10C" w:rsidR="002324FE" w:rsidRPr="00751136" w:rsidRDefault="004860A9" w:rsidP="00722BB0">
            <w:pPr>
              <w:ind w:right="-72"/>
              <w:jc w:val="right"/>
              <w:rPr>
                <w:lang w:val="en-GB"/>
              </w:rPr>
            </w:pPr>
            <w:r w:rsidRPr="00751136">
              <w:rPr>
                <w:lang w:val="en-GB"/>
              </w:rPr>
              <w:t>513.51</w:t>
            </w:r>
          </w:p>
        </w:tc>
      </w:tr>
    </w:tbl>
    <w:p w14:paraId="65CA24F5" w14:textId="77777777" w:rsidR="002324FE" w:rsidRPr="00751136" w:rsidRDefault="002324FE" w:rsidP="0003043C">
      <w:pPr>
        <w:pStyle w:val="BodyTextIndent"/>
        <w:ind w:left="0"/>
        <w:rPr>
          <w:color w:val="auto"/>
          <w:sz w:val="16"/>
          <w:szCs w:val="16"/>
        </w:rPr>
      </w:pPr>
    </w:p>
    <w:p w14:paraId="16F8BC13" w14:textId="77777777" w:rsidR="002324FE" w:rsidRPr="00751136" w:rsidRDefault="002324FE" w:rsidP="0003043C">
      <w:pPr>
        <w:pStyle w:val="BodyTextIndent"/>
        <w:ind w:left="0"/>
        <w:rPr>
          <w:color w:val="auto"/>
          <w:sz w:val="16"/>
          <w:szCs w:val="16"/>
        </w:rPr>
      </w:pPr>
    </w:p>
    <w:p w14:paraId="715DE79C" w14:textId="10D88571" w:rsidR="00E1452A" w:rsidRPr="00751136" w:rsidRDefault="001659E8" w:rsidP="0003043C">
      <w:pPr>
        <w:ind w:left="540" w:hanging="540"/>
        <w:rPr>
          <w:b/>
          <w:bCs/>
          <w:color w:val="auto"/>
        </w:rPr>
      </w:pPr>
      <w:r w:rsidRPr="00751136">
        <w:rPr>
          <w:b/>
          <w:bCs/>
          <w:color w:val="auto"/>
          <w:lang w:val="en-GB"/>
        </w:rPr>
        <w:t>1</w:t>
      </w:r>
      <w:r w:rsidR="00D8276A" w:rsidRPr="00751136">
        <w:rPr>
          <w:b/>
          <w:bCs/>
          <w:color w:val="auto"/>
          <w:lang w:val="en-GB"/>
        </w:rPr>
        <w:t>4</w:t>
      </w:r>
      <w:r w:rsidR="00E1452A" w:rsidRPr="00751136">
        <w:rPr>
          <w:b/>
          <w:bCs/>
          <w:color w:val="auto"/>
        </w:rPr>
        <w:tab/>
        <w:t>Information regarding sale and purchase of investment</w:t>
      </w:r>
    </w:p>
    <w:p w14:paraId="3A8B34CC" w14:textId="77777777" w:rsidR="00E1452A" w:rsidRPr="00751136" w:rsidRDefault="00E1452A" w:rsidP="0003043C">
      <w:pPr>
        <w:pStyle w:val="BodyTextIndent"/>
        <w:ind w:left="0"/>
        <w:rPr>
          <w:color w:val="auto"/>
          <w:sz w:val="16"/>
          <w:szCs w:val="16"/>
          <w:cs/>
        </w:rPr>
      </w:pPr>
    </w:p>
    <w:p w14:paraId="4E42A26A" w14:textId="14B10F93" w:rsidR="00E1452A" w:rsidRPr="00751136" w:rsidRDefault="008A2F64" w:rsidP="0003043C">
      <w:pPr>
        <w:pStyle w:val="a"/>
        <w:tabs>
          <w:tab w:val="right" w:pos="4590"/>
          <w:tab w:val="right" w:pos="6210"/>
          <w:tab w:val="right" w:pos="8010"/>
          <w:tab w:val="right" w:pos="9360"/>
        </w:tabs>
        <w:ind w:right="0"/>
        <w:jc w:val="both"/>
        <w:rPr>
          <w:rFonts w:cs="Arial"/>
          <w:color w:val="auto"/>
          <w:sz w:val="20"/>
          <w:lang w:val="en-US"/>
        </w:rPr>
      </w:pPr>
      <w:r w:rsidRPr="00751136">
        <w:rPr>
          <w:rFonts w:cs="Arial"/>
          <w:color w:val="auto"/>
          <w:sz w:val="20"/>
          <w:lang w:val="en-GB"/>
        </w:rPr>
        <w:t xml:space="preserve">The Trust has sold and purchased investments for the year ended 31 December 2025, excluding </w:t>
      </w:r>
      <w:r w:rsidR="00722BB0" w:rsidRPr="00751136">
        <w:rPr>
          <w:rFonts w:cs="Arial"/>
          <w:color w:val="auto"/>
          <w:sz w:val="20"/>
          <w:lang w:val="en-GB"/>
        </w:rPr>
        <w:br/>
      </w:r>
      <w:r w:rsidRPr="00751136">
        <w:rPr>
          <w:rFonts w:cs="Arial"/>
          <w:color w:val="auto"/>
          <w:spacing w:val="-2"/>
          <w:sz w:val="20"/>
          <w:lang w:val="en-GB"/>
        </w:rPr>
        <w:t>cash at bank, amounting to Baht 2,549,463,170 representing 47.58% of the weighted average net asset</w:t>
      </w:r>
      <w:r w:rsidRPr="00751136">
        <w:rPr>
          <w:rFonts w:cs="Arial"/>
          <w:color w:val="auto"/>
          <w:sz w:val="20"/>
          <w:lang w:val="en-GB"/>
        </w:rPr>
        <w:t xml:space="preserve"> value during the year</w:t>
      </w:r>
      <w:r w:rsidR="0045393D" w:rsidRPr="00751136">
        <w:rPr>
          <w:rFonts w:cs="Arial"/>
          <w:color w:val="auto"/>
          <w:sz w:val="20"/>
          <w:lang w:val="en-GB"/>
        </w:rPr>
        <w:t xml:space="preserve"> </w:t>
      </w:r>
      <w:r w:rsidRPr="00751136">
        <w:rPr>
          <w:rFonts w:cs="Arial"/>
          <w:color w:val="auto"/>
          <w:sz w:val="20"/>
          <w:lang w:val="en-GB"/>
        </w:rPr>
        <w:t>(For the year ended 31 December 2024, the Trust had sold and purchased investments amounting to Baht 407,715,087 representing 7.56% of the weighted average net asset value during the year.)</w:t>
      </w:r>
      <w:r w:rsidR="0045393D" w:rsidRPr="00751136">
        <w:rPr>
          <w:rFonts w:cs="Arial"/>
          <w:color w:val="auto"/>
          <w:sz w:val="20"/>
          <w:lang w:val="en-GB"/>
        </w:rPr>
        <w:t>.</w:t>
      </w:r>
    </w:p>
    <w:p w14:paraId="6D5D9333" w14:textId="77777777" w:rsidR="00E1452A" w:rsidRPr="00751136" w:rsidRDefault="00E1452A" w:rsidP="00722BB0">
      <w:pPr>
        <w:pStyle w:val="BodyTextIndent"/>
        <w:ind w:left="0"/>
        <w:rPr>
          <w:color w:val="auto"/>
          <w:sz w:val="16"/>
          <w:szCs w:val="16"/>
        </w:rPr>
      </w:pPr>
    </w:p>
    <w:p w14:paraId="7120773E" w14:textId="77777777" w:rsidR="007440EC" w:rsidRPr="00751136" w:rsidRDefault="007440EC" w:rsidP="00722BB0">
      <w:pPr>
        <w:pStyle w:val="BodyTextIndent"/>
        <w:ind w:left="0"/>
        <w:rPr>
          <w:color w:val="auto"/>
          <w:sz w:val="16"/>
          <w:szCs w:val="16"/>
        </w:rPr>
      </w:pPr>
    </w:p>
    <w:p w14:paraId="39E4EB70" w14:textId="5082FEC0" w:rsidR="00E1452A" w:rsidRPr="00751136" w:rsidRDefault="001659E8" w:rsidP="00722BB0">
      <w:pPr>
        <w:ind w:left="540" w:hanging="540"/>
        <w:rPr>
          <w:b/>
          <w:bCs/>
          <w:color w:val="auto"/>
        </w:rPr>
      </w:pPr>
      <w:r w:rsidRPr="00751136">
        <w:rPr>
          <w:b/>
          <w:bCs/>
          <w:color w:val="auto"/>
        </w:rPr>
        <w:t>1</w:t>
      </w:r>
      <w:r w:rsidR="00D8276A" w:rsidRPr="00751136">
        <w:rPr>
          <w:b/>
          <w:bCs/>
          <w:color w:val="auto"/>
        </w:rPr>
        <w:t>5</w:t>
      </w:r>
      <w:r w:rsidR="00722BB0" w:rsidRPr="00751136">
        <w:rPr>
          <w:b/>
          <w:bCs/>
          <w:color w:val="auto"/>
        </w:rPr>
        <w:tab/>
      </w:r>
      <w:r w:rsidR="00E1452A" w:rsidRPr="00751136">
        <w:rPr>
          <w:b/>
          <w:bCs/>
          <w:color w:val="auto"/>
        </w:rPr>
        <w:t>Segment information</w:t>
      </w:r>
    </w:p>
    <w:p w14:paraId="1E28EE59" w14:textId="77777777" w:rsidR="00E1452A" w:rsidRPr="00751136" w:rsidRDefault="00E1452A" w:rsidP="00722BB0">
      <w:pPr>
        <w:pStyle w:val="BodyTextIndent"/>
        <w:ind w:left="0"/>
        <w:rPr>
          <w:color w:val="auto"/>
          <w:sz w:val="16"/>
          <w:szCs w:val="16"/>
        </w:rPr>
      </w:pPr>
    </w:p>
    <w:p w14:paraId="4A7686DC" w14:textId="4D130B2A" w:rsidR="00E1452A" w:rsidRPr="00751136" w:rsidRDefault="00E1452A" w:rsidP="0003043C">
      <w:pPr>
        <w:pStyle w:val="a"/>
        <w:tabs>
          <w:tab w:val="right" w:pos="4590"/>
          <w:tab w:val="right" w:pos="6210"/>
          <w:tab w:val="right" w:pos="8010"/>
          <w:tab w:val="right" w:pos="9360"/>
        </w:tabs>
        <w:ind w:right="0"/>
        <w:jc w:val="both"/>
        <w:rPr>
          <w:rFonts w:cs="Arial"/>
          <w:color w:val="auto"/>
          <w:sz w:val="20"/>
          <w:lang w:val="en-US"/>
        </w:rPr>
      </w:pPr>
      <w:r w:rsidRPr="00751136">
        <w:rPr>
          <w:rFonts w:cs="Arial"/>
          <w:color w:val="auto"/>
          <w:spacing w:val="-4"/>
          <w:sz w:val="20"/>
          <w:lang w:val="en-US"/>
        </w:rPr>
        <w:t xml:space="preserve">The </w:t>
      </w:r>
      <w:r w:rsidR="00D8276A" w:rsidRPr="00751136">
        <w:rPr>
          <w:rFonts w:cs="Arial"/>
          <w:color w:val="auto"/>
          <w:spacing w:val="-4"/>
          <w:sz w:val="20"/>
          <w:lang w:val="en-US"/>
        </w:rPr>
        <w:t>Trust</w:t>
      </w:r>
      <w:r w:rsidRPr="00751136">
        <w:rPr>
          <w:rFonts w:cs="Arial"/>
          <w:color w:val="auto"/>
          <w:spacing w:val="-4"/>
          <w:sz w:val="20"/>
          <w:lang w:val="en-US"/>
        </w:rPr>
        <w:t xml:space="preserve"> operates in only one business segment which is the investment</w:t>
      </w:r>
      <w:r w:rsidR="003F703D" w:rsidRPr="00751136">
        <w:rPr>
          <w:rFonts w:cs="Arial"/>
          <w:color w:val="auto"/>
          <w:spacing w:val="-4"/>
          <w:sz w:val="20"/>
          <w:lang w:val="en-US"/>
        </w:rPr>
        <w:t>s</w:t>
      </w:r>
      <w:r w:rsidRPr="00751136">
        <w:rPr>
          <w:rFonts w:cs="Arial"/>
          <w:color w:val="auto"/>
          <w:spacing w:val="-4"/>
          <w:sz w:val="20"/>
          <w:lang w:val="en-US"/>
        </w:rPr>
        <w:t xml:space="preserve"> in propert</w:t>
      </w:r>
      <w:r w:rsidR="003F703D" w:rsidRPr="00751136">
        <w:rPr>
          <w:rFonts w:cs="Arial"/>
          <w:color w:val="auto"/>
          <w:spacing w:val="-4"/>
          <w:sz w:val="20"/>
          <w:lang w:val="en-US"/>
        </w:rPr>
        <w:t>ies</w:t>
      </w:r>
      <w:r w:rsidRPr="00751136">
        <w:rPr>
          <w:rFonts w:cs="Arial"/>
          <w:color w:val="auto"/>
          <w:spacing w:val="-4"/>
          <w:sz w:val="20"/>
          <w:lang w:val="en-US"/>
        </w:rPr>
        <w:t xml:space="preserve"> and the business</w:t>
      </w:r>
      <w:r w:rsidRPr="00751136">
        <w:rPr>
          <w:rFonts w:cs="Arial"/>
          <w:color w:val="auto"/>
          <w:sz w:val="20"/>
          <w:lang w:val="en-US"/>
        </w:rPr>
        <w:t xml:space="preserve"> </w:t>
      </w:r>
      <w:r w:rsidRPr="00751136">
        <w:rPr>
          <w:rFonts w:cs="Arial"/>
          <w:color w:val="auto"/>
          <w:spacing w:val="-6"/>
          <w:sz w:val="20"/>
          <w:lang w:val="en-US"/>
        </w:rPr>
        <w:t xml:space="preserve">is only operated in Thailand. Therefore, the presentation of segment information is </w:t>
      </w:r>
      <w:proofErr w:type="gramStart"/>
      <w:r w:rsidRPr="00751136">
        <w:rPr>
          <w:rFonts w:cs="Arial"/>
          <w:color w:val="auto"/>
          <w:spacing w:val="-6"/>
          <w:sz w:val="20"/>
          <w:lang w:val="en-US"/>
        </w:rPr>
        <w:t>as</w:t>
      </w:r>
      <w:proofErr w:type="gramEnd"/>
      <w:r w:rsidRPr="00751136">
        <w:rPr>
          <w:rFonts w:cs="Arial"/>
          <w:color w:val="auto"/>
          <w:spacing w:val="-6"/>
          <w:sz w:val="20"/>
          <w:lang w:val="en-US"/>
        </w:rPr>
        <w:t xml:space="preserve"> same as presentation</w:t>
      </w:r>
      <w:r w:rsidRPr="00751136">
        <w:rPr>
          <w:rFonts w:cs="Arial"/>
          <w:color w:val="auto"/>
          <w:sz w:val="20"/>
          <w:lang w:val="en-US"/>
        </w:rPr>
        <w:t xml:space="preserve"> in </w:t>
      </w:r>
      <w:r w:rsidR="009F256C" w:rsidRPr="00751136">
        <w:rPr>
          <w:rFonts w:cs="Arial"/>
          <w:color w:val="auto"/>
          <w:sz w:val="20"/>
          <w:lang w:val="en-US"/>
        </w:rPr>
        <w:t xml:space="preserve">the </w:t>
      </w:r>
      <w:r w:rsidRPr="00751136">
        <w:rPr>
          <w:rFonts w:cs="Arial"/>
          <w:color w:val="auto"/>
          <w:sz w:val="20"/>
          <w:lang w:val="en-US"/>
        </w:rPr>
        <w:t xml:space="preserve">financial </w:t>
      </w:r>
      <w:r w:rsidR="00B705CB" w:rsidRPr="00751136">
        <w:rPr>
          <w:rFonts w:cs="Arial"/>
          <w:color w:val="auto"/>
          <w:sz w:val="20"/>
          <w:lang w:val="en-US"/>
        </w:rPr>
        <w:t>statements</w:t>
      </w:r>
      <w:r w:rsidRPr="00751136">
        <w:rPr>
          <w:rFonts w:cs="Arial"/>
          <w:color w:val="auto"/>
          <w:sz w:val="20"/>
          <w:lang w:val="en-US"/>
        </w:rPr>
        <w:t>.</w:t>
      </w:r>
    </w:p>
    <w:p w14:paraId="40208754" w14:textId="713A90B9" w:rsidR="00B41877" w:rsidRPr="00751136" w:rsidRDefault="00B41877" w:rsidP="00722BB0">
      <w:pPr>
        <w:pStyle w:val="BodyTextIndent"/>
        <w:ind w:left="0"/>
        <w:rPr>
          <w:color w:val="auto"/>
          <w:sz w:val="16"/>
          <w:szCs w:val="16"/>
        </w:rPr>
      </w:pPr>
    </w:p>
    <w:p w14:paraId="49708708" w14:textId="77777777" w:rsidR="006E7553" w:rsidRPr="00751136" w:rsidRDefault="006E7553" w:rsidP="00722BB0">
      <w:pPr>
        <w:pStyle w:val="BodyTextIndent"/>
        <w:ind w:left="0"/>
        <w:rPr>
          <w:color w:val="auto"/>
          <w:sz w:val="16"/>
          <w:szCs w:val="16"/>
        </w:rPr>
      </w:pPr>
    </w:p>
    <w:p w14:paraId="50F09AF0" w14:textId="1D1DDBB9" w:rsidR="000F7AFC" w:rsidRPr="00751136" w:rsidRDefault="001659E8" w:rsidP="0003043C">
      <w:pPr>
        <w:pStyle w:val="BodyTextIndent"/>
        <w:tabs>
          <w:tab w:val="left" w:pos="540"/>
        </w:tabs>
        <w:ind w:left="0"/>
        <w:rPr>
          <w:b/>
          <w:bCs/>
          <w:color w:val="auto"/>
          <w:szCs w:val="20"/>
        </w:rPr>
      </w:pPr>
      <w:bookmarkStart w:id="13" w:name="_Hlk191459118"/>
      <w:r w:rsidRPr="00751136">
        <w:rPr>
          <w:b/>
          <w:bCs/>
          <w:color w:val="auto"/>
          <w:szCs w:val="20"/>
          <w:lang w:val="en-GB"/>
        </w:rPr>
        <w:t>1</w:t>
      </w:r>
      <w:r w:rsidR="00D8276A" w:rsidRPr="00751136">
        <w:rPr>
          <w:b/>
          <w:bCs/>
          <w:color w:val="auto"/>
          <w:szCs w:val="20"/>
          <w:lang w:val="en-GB"/>
        </w:rPr>
        <w:t>6</w:t>
      </w:r>
      <w:r w:rsidR="0048767A" w:rsidRPr="00751136">
        <w:rPr>
          <w:b/>
          <w:bCs/>
          <w:color w:val="auto"/>
          <w:szCs w:val="20"/>
        </w:rPr>
        <w:tab/>
      </w:r>
      <w:r w:rsidR="00990669" w:rsidRPr="00751136">
        <w:rPr>
          <w:b/>
          <w:bCs/>
          <w:color w:val="auto"/>
          <w:szCs w:val="20"/>
        </w:rPr>
        <w:t>Fair value</w:t>
      </w:r>
    </w:p>
    <w:bookmarkEnd w:id="13"/>
    <w:p w14:paraId="4D990A2A" w14:textId="77777777" w:rsidR="00CA72B4" w:rsidRPr="00751136" w:rsidRDefault="00CA72B4" w:rsidP="00722BB0">
      <w:pPr>
        <w:pStyle w:val="BodyTextIndent"/>
        <w:ind w:left="0"/>
        <w:rPr>
          <w:color w:val="auto"/>
          <w:sz w:val="16"/>
          <w:szCs w:val="16"/>
        </w:rPr>
      </w:pPr>
    </w:p>
    <w:p w14:paraId="0327D616" w14:textId="687A6100" w:rsidR="00E8029C" w:rsidRPr="00751136" w:rsidRDefault="00E8029C" w:rsidP="0003043C">
      <w:pPr>
        <w:jc w:val="both"/>
        <w:rPr>
          <w:color w:val="auto"/>
          <w:u w:val="single"/>
        </w:rPr>
      </w:pPr>
      <w:r w:rsidRPr="00751136">
        <w:rPr>
          <w:color w:val="auto"/>
          <w:u w:val="single"/>
        </w:rPr>
        <w:t>Fair value estimation</w:t>
      </w:r>
    </w:p>
    <w:p w14:paraId="2A4CC1E4" w14:textId="77777777" w:rsidR="005137AA" w:rsidRPr="00751136" w:rsidRDefault="005137AA" w:rsidP="00722BB0">
      <w:pPr>
        <w:pStyle w:val="BodyTextIndent"/>
        <w:ind w:left="0"/>
        <w:rPr>
          <w:color w:val="auto"/>
          <w:sz w:val="16"/>
          <w:szCs w:val="16"/>
        </w:rPr>
      </w:pPr>
    </w:p>
    <w:p w14:paraId="2DA3A335" w14:textId="70F9480E" w:rsidR="00E8029C" w:rsidRPr="00751136" w:rsidRDefault="00AF7B92" w:rsidP="0003043C">
      <w:pPr>
        <w:jc w:val="both"/>
        <w:rPr>
          <w:color w:val="auto"/>
          <w:highlight w:val="yellow"/>
        </w:rPr>
      </w:pPr>
      <w:r w:rsidRPr="00751136">
        <w:rPr>
          <w:color w:val="auto"/>
          <w:spacing w:val="-6"/>
        </w:rPr>
        <w:t xml:space="preserve">Fair value is </w:t>
      </w:r>
      <w:r w:rsidR="00613E1B" w:rsidRPr="00751136">
        <w:rPr>
          <w:color w:val="auto"/>
          <w:spacing w:val="-6"/>
        </w:rPr>
        <w:t>the price received to sell an asset or paid to transfer a liability in an orderly transaction</w:t>
      </w:r>
      <w:r w:rsidR="00613E1B" w:rsidRPr="00751136">
        <w:rPr>
          <w:color w:val="auto"/>
        </w:rPr>
        <w:t xml:space="preserve"> between market participants under current market conditions.</w:t>
      </w:r>
      <w:r w:rsidR="00613E1B" w:rsidRPr="00751136">
        <w:rPr>
          <w:color w:val="auto"/>
          <w:cs/>
        </w:rPr>
        <w:t xml:space="preserve"> </w:t>
      </w:r>
      <w:r w:rsidR="00613E1B" w:rsidRPr="00751136">
        <w:rPr>
          <w:color w:val="auto"/>
        </w:rPr>
        <w:t>At the measurement date, t</w:t>
      </w:r>
      <w:r w:rsidR="00E8029C" w:rsidRPr="00751136">
        <w:rPr>
          <w:color w:val="auto"/>
        </w:rPr>
        <w:t xml:space="preserve">he </w:t>
      </w:r>
      <w:r w:rsidR="00D8276A" w:rsidRPr="00751136">
        <w:rPr>
          <w:color w:val="auto"/>
        </w:rPr>
        <w:t>Trust</w:t>
      </w:r>
      <w:r w:rsidR="00E8029C" w:rsidRPr="00751136">
        <w:rPr>
          <w:color w:val="auto"/>
        </w:rPr>
        <w:t xml:space="preserve"> uses </w:t>
      </w:r>
      <w:r w:rsidR="000E6ED2" w:rsidRPr="00751136">
        <w:rPr>
          <w:color w:val="auto"/>
        </w:rPr>
        <w:t>quoted prices in active markets</w:t>
      </w:r>
      <w:r w:rsidR="00E8029C" w:rsidRPr="00751136">
        <w:rPr>
          <w:color w:val="auto"/>
        </w:rPr>
        <w:t xml:space="preserve"> to measure its assets and liabilities that are required to be measured at fair value by </w:t>
      </w:r>
      <w:r w:rsidR="00613E1B" w:rsidRPr="00751136">
        <w:rPr>
          <w:color w:val="auto"/>
        </w:rPr>
        <w:t>accounting guidelines</w:t>
      </w:r>
      <w:r w:rsidR="00E8029C" w:rsidRPr="00751136">
        <w:rPr>
          <w:color w:val="auto"/>
        </w:rPr>
        <w:t xml:space="preserve">, except </w:t>
      </w:r>
      <w:r w:rsidR="003B47AA" w:rsidRPr="00751136">
        <w:rPr>
          <w:color w:val="auto"/>
        </w:rPr>
        <w:t>that</w:t>
      </w:r>
      <w:r w:rsidR="00E8029C" w:rsidRPr="00751136">
        <w:rPr>
          <w:color w:val="auto"/>
        </w:rPr>
        <w:t xml:space="preserve"> there is no active market </w:t>
      </w:r>
      <w:r w:rsidR="003B47AA" w:rsidRPr="00751136">
        <w:rPr>
          <w:color w:val="auto"/>
        </w:rPr>
        <w:t xml:space="preserve">for </w:t>
      </w:r>
      <w:r w:rsidR="003B47AA" w:rsidRPr="00751136">
        <w:rPr>
          <w:color w:val="auto"/>
          <w:spacing w:val="-2"/>
        </w:rPr>
        <w:t xml:space="preserve">identical assets and liabilities </w:t>
      </w:r>
      <w:r w:rsidR="00E8029C" w:rsidRPr="00751136">
        <w:rPr>
          <w:color w:val="auto"/>
          <w:spacing w:val="-2"/>
        </w:rPr>
        <w:t>or when a quoted market price is not available</w:t>
      </w:r>
      <w:r w:rsidR="003B47AA" w:rsidRPr="00751136">
        <w:rPr>
          <w:color w:val="auto"/>
          <w:spacing w:val="-2"/>
        </w:rPr>
        <w:t>. T</w:t>
      </w:r>
      <w:r w:rsidR="00E8029C" w:rsidRPr="00751136">
        <w:rPr>
          <w:color w:val="auto"/>
          <w:spacing w:val="-2"/>
        </w:rPr>
        <w:t xml:space="preserve">he </w:t>
      </w:r>
      <w:r w:rsidR="00D8276A" w:rsidRPr="00751136">
        <w:rPr>
          <w:color w:val="auto"/>
          <w:spacing w:val="-2"/>
        </w:rPr>
        <w:t>Trust</w:t>
      </w:r>
      <w:r w:rsidR="00E8029C" w:rsidRPr="00751136">
        <w:rPr>
          <w:color w:val="auto"/>
          <w:spacing w:val="-2"/>
        </w:rPr>
        <w:t xml:space="preserve"> endeavors </w:t>
      </w:r>
      <w:r w:rsidR="00E8029C" w:rsidRPr="00751136">
        <w:rPr>
          <w:color w:val="auto"/>
        </w:rPr>
        <w:t xml:space="preserve">to </w:t>
      </w:r>
      <w:r w:rsidR="00613E1B" w:rsidRPr="00751136">
        <w:rPr>
          <w:color w:val="auto"/>
        </w:rPr>
        <w:t>estimate</w:t>
      </w:r>
      <w:r w:rsidR="00E91010" w:rsidRPr="00751136">
        <w:rPr>
          <w:color w:val="auto"/>
        </w:rPr>
        <w:t xml:space="preserve"> fair value by using appropriate valuation techniques</w:t>
      </w:r>
      <w:r w:rsidR="00613E1B" w:rsidRPr="00751136">
        <w:rPr>
          <w:color w:val="auto"/>
          <w:cs/>
        </w:rPr>
        <w:t xml:space="preserve"> </w:t>
      </w:r>
      <w:r w:rsidR="00613E1B" w:rsidRPr="00751136">
        <w:rPr>
          <w:color w:val="auto"/>
        </w:rPr>
        <w:t xml:space="preserve">and </w:t>
      </w:r>
      <w:r w:rsidR="00E8029C" w:rsidRPr="00751136">
        <w:rPr>
          <w:color w:val="auto"/>
        </w:rPr>
        <w:t>use relevant observable inputs</w:t>
      </w:r>
      <w:r w:rsidR="00E8029C" w:rsidRPr="00751136">
        <w:rPr>
          <w:color w:val="auto"/>
          <w:spacing w:val="-2"/>
        </w:rPr>
        <w:t xml:space="preserve"> as much as possible. </w:t>
      </w:r>
    </w:p>
    <w:p w14:paraId="39220999" w14:textId="77777777" w:rsidR="00AF7B92" w:rsidRPr="00751136" w:rsidRDefault="00AF7B92" w:rsidP="00722BB0">
      <w:pPr>
        <w:pStyle w:val="BodyTextIndent"/>
        <w:ind w:left="0"/>
        <w:rPr>
          <w:color w:val="auto"/>
          <w:sz w:val="16"/>
          <w:szCs w:val="16"/>
        </w:rPr>
      </w:pPr>
    </w:p>
    <w:p w14:paraId="79B8E4DE" w14:textId="1C531984" w:rsidR="00E8029C" w:rsidRPr="00751136" w:rsidRDefault="002471E0" w:rsidP="0003043C">
      <w:pPr>
        <w:jc w:val="both"/>
        <w:rPr>
          <w:color w:val="auto"/>
          <w:spacing w:val="-2"/>
        </w:rPr>
      </w:pPr>
      <w:r w:rsidRPr="00751136">
        <w:rPr>
          <w:color w:val="auto"/>
          <w:spacing w:val="-2"/>
        </w:rPr>
        <w:t xml:space="preserve">The following table presents the financial </w:t>
      </w:r>
      <w:r w:rsidR="00BB5C8D" w:rsidRPr="00751136">
        <w:rPr>
          <w:color w:val="auto"/>
          <w:spacing w:val="-2"/>
        </w:rPr>
        <w:t>instruments</w:t>
      </w:r>
      <w:r w:rsidRPr="00751136">
        <w:rPr>
          <w:color w:val="auto"/>
          <w:spacing w:val="-2"/>
        </w:rPr>
        <w:t xml:space="preserve"> that are measured at fair value </w:t>
      </w:r>
      <w:proofErr w:type="spellStart"/>
      <w:r w:rsidR="00AF7B92" w:rsidRPr="00751136">
        <w:rPr>
          <w:color w:val="auto"/>
          <w:spacing w:val="-2"/>
        </w:rPr>
        <w:t>categorised</w:t>
      </w:r>
      <w:proofErr w:type="spellEnd"/>
      <w:r w:rsidR="00AF7B92" w:rsidRPr="00751136">
        <w:rPr>
          <w:color w:val="auto"/>
          <w:spacing w:val="-2"/>
        </w:rPr>
        <w:t xml:space="preserve"> into hierarchy based on inputs used</w:t>
      </w:r>
      <w:r w:rsidR="00613E1B" w:rsidRPr="00751136">
        <w:rPr>
          <w:color w:val="auto"/>
          <w:spacing w:val="-2"/>
        </w:rPr>
        <w:t>.</w:t>
      </w:r>
    </w:p>
    <w:p w14:paraId="7904886A" w14:textId="77777777" w:rsidR="00AF7B92" w:rsidRPr="00751136" w:rsidRDefault="00AF7B92" w:rsidP="00722BB0">
      <w:pPr>
        <w:pStyle w:val="BodyTextIndent"/>
        <w:ind w:left="0"/>
        <w:rPr>
          <w:color w:val="auto"/>
          <w:sz w:val="16"/>
          <w:szCs w:val="16"/>
        </w:rPr>
      </w:pPr>
    </w:p>
    <w:p w14:paraId="453116D4" w14:textId="2A25307F" w:rsidR="00E8029C" w:rsidRPr="00751136" w:rsidRDefault="00E8029C" w:rsidP="0003043C">
      <w:pPr>
        <w:tabs>
          <w:tab w:val="left" w:pos="900"/>
          <w:tab w:val="left" w:pos="1440"/>
        </w:tabs>
        <w:ind w:left="810" w:hanging="810"/>
        <w:jc w:val="both"/>
        <w:rPr>
          <w:color w:val="auto"/>
        </w:rPr>
      </w:pPr>
      <w:r w:rsidRPr="00751136">
        <w:rPr>
          <w:color w:val="auto"/>
        </w:rPr>
        <w:t xml:space="preserve">Level </w:t>
      </w:r>
      <w:r w:rsidR="001659E8" w:rsidRPr="00751136">
        <w:rPr>
          <w:color w:val="auto"/>
          <w:lang w:val="en-GB"/>
        </w:rPr>
        <w:t>1</w:t>
      </w:r>
      <w:r w:rsidRPr="00751136">
        <w:rPr>
          <w:color w:val="auto"/>
        </w:rPr>
        <w:t>:</w:t>
      </w:r>
      <w:r w:rsidRPr="00751136">
        <w:rPr>
          <w:color w:val="auto"/>
        </w:rPr>
        <w:tab/>
        <w:t xml:space="preserve">Quoted prices (unadjusted) in active markets for identical assets or liabilities </w:t>
      </w:r>
    </w:p>
    <w:p w14:paraId="0745985D" w14:textId="3B95096E" w:rsidR="00E8029C" w:rsidRPr="00751136" w:rsidRDefault="00E8029C" w:rsidP="0003043C">
      <w:pPr>
        <w:tabs>
          <w:tab w:val="left" w:pos="900"/>
          <w:tab w:val="left" w:pos="1440"/>
        </w:tabs>
        <w:ind w:left="810" w:hanging="810"/>
        <w:jc w:val="both"/>
        <w:rPr>
          <w:color w:val="auto"/>
          <w:spacing w:val="-4"/>
        </w:rPr>
      </w:pPr>
      <w:r w:rsidRPr="00751136">
        <w:rPr>
          <w:color w:val="auto"/>
        </w:rPr>
        <w:t xml:space="preserve">Level </w:t>
      </w:r>
      <w:r w:rsidR="001659E8" w:rsidRPr="00751136">
        <w:rPr>
          <w:color w:val="auto"/>
          <w:lang w:val="en-GB"/>
        </w:rPr>
        <w:t>2</w:t>
      </w:r>
      <w:r w:rsidRPr="00751136">
        <w:rPr>
          <w:color w:val="auto"/>
        </w:rPr>
        <w:t>:</w:t>
      </w:r>
      <w:r w:rsidRPr="00751136">
        <w:rPr>
          <w:color w:val="auto"/>
        </w:rPr>
        <w:tab/>
      </w:r>
      <w:r w:rsidRPr="00751136">
        <w:rPr>
          <w:color w:val="auto"/>
          <w:spacing w:val="-4"/>
        </w:rPr>
        <w:t xml:space="preserve">Inputs other than quoted prices included within level </w:t>
      </w:r>
      <w:r w:rsidR="001659E8" w:rsidRPr="00751136">
        <w:rPr>
          <w:color w:val="auto"/>
          <w:spacing w:val="-4"/>
          <w:lang w:val="en-GB"/>
        </w:rPr>
        <w:t>1</w:t>
      </w:r>
      <w:r w:rsidRPr="00751136">
        <w:rPr>
          <w:color w:val="auto"/>
          <w:spacing w:val="-4"/>
        </w:rPr>
        <w:t xml:space="preserve"> that are observable for the asset or liability, either directly (that is, as prices) or indirectly (that is, derived from prices)</w:t>
      </w:r>
    </w:p>
    <w:p w14:paraId="13F2D6FE" w14:textId="22663A74" w:rsidR="00E8029C" w:rsidRPr="00751136" w:rsidRDefault="00E8029C" w:rsidP="0003043C">
      <w:pPr>
        <w:tabs>
          <w:tab w:val="left" w:pos="900"/>
          <w:tab w:val="left" w:pos="1440"/>
        </w:tabs>
        <w:ind w:left="810" w:hanging="810"/>
        <w:jc w:val="both"/>
        <w:rPr>
          <w:color w:val="auto"/>
        </w:rPr>
      </w:pPr>
      <w:r w:rsidRPr="00751136">
        <w:rPr>
          <w:color w:val="auto"/>
        </w:rPr>
        <w:t xml:space="preserve">Level </w:t>
      </w:r>
      <w:r w:rsidR="001659E8" w:rsidRPr="00751136">
        <w:rPr>
          <w:color w:val="auto"/>
          <w:lang w:val="en-GB"/>
        </w:rPr>
        <w:t>3</w:t>
      </w:r>
      <w:r w:rsidRPr="00751136">
        <w:rPr>
          <w:color w:val="auto"/>
        </w:rPr>
        <w:t>:</w:t>
      </w:r>
      <w:r w:rsidRPr="00751136">
        <w:rPr>
          <w:color w:val="auto"/>
        </w:rPr>
        <w:tab/>
      </w:r>
      <w:r w:rsidRPr="00751136">
        <w:rPr>
          <w:color w:val="auto"/>
          <w:spacing w:val="-6"/>
        </w:rPr>
        <w:t>Inputs for the asset or liability that are not based on observable market data (that is, unobservable</w:t>
      </w:r>
      <w:r w:rsidRPr="00751136">
        <w:rPr>
          <w:color w:val="auto"/>
        </w:rPr>
        <w:t xml:space="preserve"> inputs) </w:t>
      </w:r>
    </w:p>
    <w:p w14:paraId="7B8D3C51" w14:textId="12BCA98C" w:rsidR="000A5A07" w:rsidRPr="00751136" w:rsidRDefault="00564C72" w:rsidP="0003043C">
      <w:pPr>
        <w:jc w:val="both"/>
        <w:rPr>
          <w:b/>
          <w:bCs/>
          <w:color w:val="auto"/>
          <w:spacing w:val="-7"/>
          <w:u w:val="single"/>
          <w:lang w:val="en-GB"/>
        </w:rPr>
      </w:pPr>
      <w:r w:rsidRPr="00751136">
        <w:rPr>
          <w:b/>
          <w:bCs/>
          <w:color w:val="auto"/>
          <w:spacing w:val="-7"/>
          <w:u w:val="single"/>
          <w:lang w:val="en-GB"/>
        </w:rPr>
        <w:br w:type="page"/>
      </w:r>
      <w:r w:rsidR="000A5A07" w:rsidRPr="00751136">
        <w:rPr>
          <w:b/>
          <w:bCs/>
          <w:color w:val="auto"/>
          <w:spacing w:val="-7"/>
          <w:u w:val="single"/>
          <w:lang w:val="en-GB"/>
        </w:rPr>
        <w:lastRenderedPageBreak/>
        <w:t>31</w:t>
      </w:r>
      <w:r w:rsidR="000A5A07" w:rsidRPr="00751136">
        <w:rPr>
          <w:b/>
          <w:bCs/>
          <w:color w:val="auto"/>
          <w:spacing w:val="-7"/>
          <w:u w:val="single"/>
        </w:rPr>
        <w:t xml:space="preserve"> December </w:t>
      </w:r>
      <w:r w:rsidR="000A5A07" w:rsidRPr="00751136">
        <w:rPr>
          <w:b/>
          <w:bCs/>
          <w:color w:val="auto"/>
          <w:spacing w:val="-7"/>
          <w:u w:val="single"/>
          <w:lang w:val="en-GB"/>
        </w:rPr>
        <w:t>2025</w:t>
      </w:r>
    </w:p>
    <w:tbl>
      <w:tblPr>
        <w:tblW w:w="9035" w:type="dxa"/>
        <w:tblInd w:w="108" w:type="dxa"/>
        <w:tblLayout w:type="fixed"/>
        <w:tblLook w:val="0000" w:firstRow="0" w:lastRow="0" w:firstColumn="0" w:lastColumn="0" w:noHBand="0" w:noVBand="0"/>
      </w:tblPr>
      <w:tblGrid>
        <w:gridCol w:w="3514"/>
        <w:gridCol w:w="1305"/>
        <w:gridCol w:w="1305"/>
        <w:gridCol w:w="1455"/>
        <w:gridCol w:w="1456"/>
      </w:tblGrid>
      <w:tr w:rsidR="000A5A07" w:rsidRPr="00751136" w14:paraId="4EBFE263" w14:textId="77777777" w:rsidTr="00142FDE">
        <w:tc>
          <w:tcPr>
            <w:tcW w:w="3514" w:type="dxa"/>
            <w:vAlign w:val="bottom"/>
          </w:tcPr>
          <w:p w14:paraId="744FE450" w14:textId="77777777" w:rsidR="000A5A07" w:rsidRPr="00751136" w:rsidRDefault="000A5A07" w:rsidP="0003043C">
            <w:pPr>
              <w:ind w:left="-101"/>
              <w:rPr>
                <w:b/>
                <w:bCs/>
                <w:color w:val="auto"/>
                <w:sz w:val="18"/>
                <w:szCs w:val="18"/>
              </w:rPr>
            </w:pPr>
          </w:p>
        </w:tc>
        <w:tc>
          <w:tcPr>
            <w:tcW w:w="1305" w:type="dxa"/>
            <w:vAlign w:val="bottom"/>
          </w:tcPr>
          <w:p w14:paraId="37F6B8B0" w14:textId="77777777" w:rsidR="000A5A07" w:rsidRPr="00751136" w:rsidRDefault="000A5A07" w:rsidP="0003043C">
            <w:pPr>
              <w:ind w:right="-72"/>
              <w:jc w:val="right"/>
              <w:rPr>
                <w:color w:val="auto"/>
                <w:sz w:val="18"/>
                <w:szCs w:val="18"/>
              </w:rPr>
            </w:pPr>
            <w:r w:rsidRPr="00751136">
              <w:rPr>
                <w:b/>
                <w:bCs/>
                <w:color w:val="auto"/>
                <w:sz w:val="18"/>
                <w:szCs w:val="18"/>
              </w:rPr>
              <w:t xml:space="preserve">Level </w:t>
            </w:r>
            <w:r w:rsidRPr="00751136">
              <w:rPr>
                <w:b/>
                <w:bCs/>
                <w:color w:val="auto"/>
                <w:sz w:val="18"/>
                <w:szCs w:val="18"/>
                <w:lang w:val="en-GB"/>
              </w:rPr>
              <w:t>1</w:t>
            </w:r>
          </w:p>
        </w:tc>
        <w:tc>
          <w:tcPr>
            <w:tcW w:w="1305" w:type="dxa"/>
            <w:vAlign w:val="bottom"/>
          </w:tcPr>
          <w:p w14:paraId="0F1819DF" w14:textId="77777777" w:rsidR="000A5A07" w:rsidRPr="00751136" w:rsidRDefault="000A5A07" w:rsidP="0003043C">
            <w:pPr>
              <w:ind w:right="-72"/>
              <w:jc w:val="right"/>
              <w:rPr>
                <w:color w:val="auto"/>
                <w:sz w:val="18"/>
                <w:szCs w:val="18"/>
              </w:rPr>
            </w:pPr>
            <w:r w:rsidRPr="00751136">
              <w:rPr>
                <w:b/>
                <w:bCs/>
                <w:color w:val="auto"/>
                <w:sz w:val="18"/>
                <w:szCs w:val="18"/>
              </w:rPr>
              <w:t xml:space="preserve">Level </w:t>
            </w:r>
            <w:r w:rsidRPr="00751136">
              <w:rPr>
                <w:b/>
                <w:bCs/>
                <w:color w:val="auto"/>
                <w:sz w:val="18"/>
                <w:szCs w:val="18"/>
                <w:lang w:val="en-GB"/>
              </w:rPr>
              <w:t>2</w:t>
            </w:r>
          </w:p>
        </w:tc>
        <w:tc>
          <w:tcPr>
            <w:tcW w:w="1455" w:type="dxa"/>
            <w:vAlign w:val="bottom"/>
          </w:tcPr>
          <w:p w14:paraId="2AA54300" w14:textId="77777777" w:rsidR="000A5A07" w:rsidRPr="00751136" w:rsidRDefault="000A5A07" w:rsidP="0003043C">
            <w:pPr>
              <w:ind w:right="-72"/>
              <w:jc w:val="right"/>
              <w:rPr>
                <w:color w:val="auto"/>
                <w:sz w:val="18"/>
                <w:szCs w:val="18"/>
              </w:rPr>
            </w:pPr>
            <w:r w:rsidRPr="00751136">
              <w:rPr>
                <w:b/>
                <w:bCs/>
                <w:color w:val="auto"/>
                <w:sz w:val="18"/>
                <w:szCs w:val="18"/>
              </w:rPr>
              <w:t xml:space="preserve">Level </w:t>
            </w:r>
            <w:r w:rsidRPr="00751136">
              <w:rPr>
                <w:b/>
                <w:bCs/>
                <w:color w:val="auto"/>
                <w:sz w:val="18"/>
                <w:szCs w:val="18"/>
                <w:lang w:val="en-GB"/>
              </w:rPr>
              <w:t>3</w:t>
            </w:r>
          </w:p>
        </w:tc>
        <w:tc>
          <w:tcPr>
            <w:tcW w:w="1456" w:type="dxa"/>
            <w:vAlign w:val="bottom"/>
          </w:tcPr>
          <w:p w14:paraId="21081950" w14:textId="77777777" w:rsidR="000A5A07" w:rsidRPr="00751136" w:rsidRDefault="000A5A07" w:rsidP="0003043C">
            <w:pPr>
              <w:ind w:right="-72"/>
              <w:jc w:val="right"/>
              <w:rPr>
                <w:b/>
                <w:bCs/>
                <w:color w:val="auto"/>
                <w:sz w:val="18"/>
                <w:szCs w:val="18"/>
              </w:rPr>
            </w:pPr>
            <w:r w:rsidRPr="00751136">
              <w:rPr>
                <w:b/>
                <w:bCs/>
                <w:color w:val="auto"/>
                <w:sz w:val="18"/>
                <w:szCs w:val="18"/>
              </w:rPr>
              <w:t>Total</w:t>
            </w:r>
          </w:p>
        </w:tc>
      </w:tr>
      <w:tr w:rsidR="000A5A07" w:rsidRPr="00751136" w14:paraId="5FF46E43" w14:textId="77777777" w:rsidTr="00142FDE">
        <w:tc>
          <w:tcPr>
            <w:tcW w:w="3514" w:type="dxa"/>
            <w:vAlign w:val="bottom"/>
          </w:tcPr>
          <w:p w14:paraId="325CBF04" w14:textId="77777777" w:rsidR="000A5A07" w:rsidRPr="00751136" w:rsidRDefault="000A5A07" w:rsidP="0003043C">
            <w:pPr>
              <w:ind w:left="-101"/>
              <w:rPr>
                <w:color w:val="auto"/>
                <w:sz w:val="18"/>
                <w:szCs w:val="18"/>
              </w:rPr>
            </w:pPr>
          </w:p>
        </w:tc>
        <w:tc>
          <w:tcPr>
            <w:tcW w:w="1305" w:type="dxa"/>
            <w:tcBorders>
              <w:bottom w:val="single" w:sz="4" w:space="0" w:color="auto"/>
            </w:tcBorders>
            <w:vAlign w:val="bottom"/>
          </w:tcPr>
          <w:p w14:paraId="2B18C822" w14:textId="77777777" w:rsidR="000A5A07" w:rsidRPr="00751136" w:rsidRDefault="000A5A07" w:rsidP="0003043C">
            <w:pPr>
              <w:ind w:right="-72"/>
              <w:jc w:val="right"/>
              <w:rPr>
                <w:color w:val="auto"/>
                <w:sz w:val="18"/>
                <w:szCs w:val="18"/>
              </w:rPr>
            </w:pPr>
            <w:r w:rsidRPr="00751136">
              <w:rPr>
                <w:b/>
                <w:bCs/>
                <w:color w:val="auto"/>
                <w:sz w:val="18"/>
                <w:szCs w:val="18"/>
              </w:rPr>
              <w:t>Baht</w:t>
            </w:r>
          </w:p>
        </w:tc>
        <w:tc>
          <w:tcPr>
            <w:tcW w:w="1305" w:type="dxa"/>
            <w:tcBorders>
              <w:bottom w:val="single" w:sz="4" w:space="0" w:color="auto"/>
            </w:tcBorders>
            <w:vAlign w:val="bottom"/>
          </w:tcPr>
          <w:p w14:paraId="70C2855C" w14:textId="77777777" w:rsidR="000A5A07" w:rsidRPr="00751136" w:rsidRDefault="000A5A07" w:rsidP="0003043C">
            <w:pPr>
              <w:ind w:right="-72"/>
              <w:jc w:val="right"/>
              <w:rPr>
                <w:color w:val="auto"/>
                <w:sz w:val="18"/>
                <w:szCs w:val="18"/>
              </w:rPr>
            </w:pPr>
            <w:r w:rsidRPr="00751136">
              <w:rPr>
                <w:b/>
                <w:bCs/>
                <w:color w:val="auto"/>
                <w:sz w:val="18"/>
                <w:szCs w:val="18"/>
              </w:rPr>
              <w:t>Baht</w:t>
            </w:r>
          </w:p>
        </w:tc>
        <w:tc>
          <w:tcPr>
            <w:tcW w:w="1455" w:type="dxa"/>
            <w:tcBorders>
              <w:bottom w:val="single" w:sz="4" w:space="0" w:color="auto"/>
            </w:tcBorders>
            <w:vAlign w:val="bottom"/>
          </w:tcPr>
          <w:p w14:paraId="7182FF6C" w14:textId="77777777" w:rsidR="000A5A07" w:rsidRPr="00751136" w:rsidRDefault="000A5A07" w:rsidP="0003043C">
            <w:pPr>
              <w:ind w:right="-72"/>
              <w:jc w:val="right"/>
              <w:rPr>
                <w:color w:val="auto"/>
                <w:sz w:val="18"/>
                <w:szCs w:val="18"/>
              </w:rPr>
            </w:pPr>
            <w:r w:rsidRPr="00751136">
              <w:rPr>
                <w:b/>
                <w:bCs/>
                <w:color w:val="auto"/>
                <w:sz w:val="18"/>
                <w:szCs w:val="18"/>
              </w:rPr>
              <w:t>Baht</w:t>
            </w:r>
          </w:p>
        </w:tc>
        <w:tc>
          <w:tcPr>
            <w:tcW w:w="1456" w:type="dxa"/>
            <w:tcBorders>
              <w:bottom w:val="single" w:sz="4" w:space="0" w:color="auto"/>
            </w:tcBorders>
            <w:vAlign w:val="bottom"/>
          </w:tcPr>
          <w:p w14:paraId="498DCCBE" w14:textId="77777777" w:rsidR="000A5A07" w:rsidRPr="00751136" w:rsidRDefault="000A5A07" w:rsidP="0003043C">
            <w:pPr>
              <w:ind w:right="-72"/>
              <w:jc w:val="right"/>
              <w:rPr>
                <w:color w:val="auto"/>
                <w:sz w:val="18"/>
                <w:szCs w:val="18"/>
              </w:rPr>
            </w:pPr>
            <w:r w:rsidRPr="00751136">
              <w:rPr>
                <w:b/>
                <w:bCs/>
                <w:color w:val="auto"/>
                <w:sz w:val="18"/>
                <w:szCs w:val="18"/>
              </w:rPr>
              <w:t>Baht</w:t>
            </w:r>
          </w:p>
        </w:tc>
      </w:tr>
      <w:tr w:rsidR="000A5A07" w:rsidRPr="00751136" w14:paraId="00F06A99" w14:textId="77777777" w:rsidTr="00142FDE">
        <w:tc>
          <w:tcPr>
            <w:tcW w:w="3514" w:type="dxa"/>
            <w:vAlign w:val="bottom"/>
          </w:tcPr>
          <w:p w14:paraId="3F36E6FE" w14:textId="77777777" w:rsidR="000A5A07" w:rsidRPr="00751136" w:rsidRDefault="000A5A07" w:rsidP="0003043C">
            <w:pPr>
              <w:tabs>
                <w:tab w:val="left" w:pos="9098"/>
              </w:tabs>
              <w:ind w:left="-101"/>
              <w:rPr>
                <w:color w:val="auto"/>
                <w:sz w:val="12"/>
                <w:szCs w:val="12"/>
              </w:rPr>
            </w:pPr>
          </w:p>
        </w:tc>
        <w:tc>
          <w:tcPr>
            <w:tcW w:w="1305" w:type="dxa"/>
            <w:tcBorders>
              <w:top w:val="single" w:sz="4" w:space="0" w:color="auto"/>
            </w:tcBorders>
            <w:vAlign w:val="bottom"/>
          </w:tcPr>
          <w:p w14:paraId="38487245" w14:textId="77777777" w:rsidR="000A5A07" w:rsidRPr="00751136" w:rsidRDefault="000A5A07" w:rsidP="0003043C">
            <w:pPr>
              <w:ind w:right="-72"/>
              <w:jc w:val="right"/>
              <w:rPr>
                <w:color w:val="auto"/>
                <w:spacing w:val="-6"/>
                <w:sz w:val="12"/>
                <w:szCs w:val="12"/>
              </w:rPr>
            </w:pPr>
          </w:p>
        </w:tc>
        <w:tc>
          <w:tcPr>
            <w:tcW w:w="1305" w:type="dxa"/>
            <w:tcBorders>
              <w:top w:val="single" w:sz="4" w:space="0" w:color="auto"/>
            </w:tcBorders>
            <w:vAlign w:val="bottom"/>
          </w:tcPr>
          <w:p w14:paraId="4E548C4B" w14:textId="77777777" w:rsidR="000A5A07" w:rsidRPr="00751136" w:rsidRDefault="000A5A07" w:rsidP="0003043C">
            <w:pPr>
              <w:ind w:right="-72"/>
              <w:jc w:val="right"/>
              <w:rPr>
                <w:color w:val="auto"/>
                <w:spacing w:val="-6"/>
                <w:sz w:val="12"/>
                <w:szCs w:val="12"/>
              </w:rPr>
            </w:pPr>
          </w:p>
        </w:tc>
        <w:tc>
          <w:tcPr>
            <w:tcW w:w="1455" w:type="dxa"/>
            <w:tcBorders>
              <w:top w:val="single" w:sz="4" w:space="0" w:color="auto"/>
            </w:tcBorders>
            <w:vAlign w:val="bottom"/>
          </w:tcPr>
          <w:p w14:paraId="1C97012D" w14:textId="77777777" w:rsidR="000A5A07" w:rsidRPr="00751136" w:rsidRDefault="000A5A07" w:rsidP="0003043C">
            <w:pPr>
              <w:ind w:right="-72"/>
              <w:jc w:val="right"/>
              <w:rPr>
                <w:color w:val="auto"/>
                <w:spacing w:val="-6"/>
                <w:sz w:val="12"/>
                <w:szCs w:val="12"/>
              </w:rPr>
            </w:pPr>
          </w:p>
        </w:tc>
        <w:tc>
          <w:tcPr>
            <w:tcW w:w="1456" w:type="dxa"/>
            <w:tcBorders>
              <w:top w:val="single" w:sz="4" w:space="0" w:color="auto"/>
            </w:tcBorders>
            <w:vAlign w:val="bottom"/>
          </w:tcPr>
          <w:p w14:paraId="6814CC59" w14:textId="77777777" w:rsidR="000A5A07" w:rsidRPr="00751136" w:rsidRDefault="000A5A07" w:rsidP="0003043C">
            <w:pPr>
              <w:ind w:right="-72"/>
              <w:jc w:val="right"/>
              <w:rPr>
                <w:color w:val="auto"/>
                <w:spacing w:val="-6"/>
                <w:sz w:val="12"/>
                <w:szCs w:val="12"/>
              </w:rPr>
            </w:pPr>
          </w:p>
        </w:tc>
      </w:tr>
      <w:tr w:rsidR="000A5A07" w:rsidRPr="00751136" w14:paraId="11350E58" w14:textId="77777777" w:rsidTr="00142FDE">
        <w:trPr>
          <w:trHeight w:val="126"/>
        </w:trPr>
        <w:tc>
          <w:tcPr>
            <w:tcW w:w="3514" w:type="dxa"/>
            <w:vAlign w:val="bottom"/>
          </w:tcPr>
          <w:p w14:paraId="22361127" w14:textId="77777777" w:rsidR="000A5A07" w:rsidRPr="00751136" w:rsidRDefault="000A5A07" w:rsidP="0003043C">
            <w:pPr>
              <w:tabs>
                <w:tab w:val="left" w:pos="9098"/>
              </w:tabs>
              <w:ind w:left="-101"/>
              <w:rPr>
                <w:color w:val="auto"/>
                <w:sz w:val="18"/>
                <w:szCs w:val="18"/>
                <w:lang w:val="en-GB"/>
              </w:rPr>
            </w:pPr>
            <w:r w:rsidRPr="00751136">
              <w:rPr>
                <w:color w:val="auto"/>
                <w:sz w:val="18"/>
                <w:szCs w:val="18"/>
              </w:rPr>
              <w:t>Investments in properties</w:t>
            </w:r>
            <w:r w:rsidRPr="00751136">
              <w:rPr>
                <w:color w:val="auto"/>
                <w:sz w:val="18"/>
                <w:szCs w:val="18"/>
                <w:cs/>
              </w:rPr>
              <w:t xml:space="preserve"> </w:t>
            </w:r>
            <w:r w:rsidRPr="00751136">
              <w:rPr>
                <w:color w:val="auto"/>
                <w:sz w:val="18"/>
                <w:szCs w:val="18"/>
                <w:lang w:val="en-GB"/>
              </w:rPr>
              <w:t>at fair value</w:t>
            </w:r>
          </w:p>
        </w:tc>
        <w:tc>
          <w:tcPr>
            <w:tcW w:w="1305" w:type="dxa"/>
            <w:vAlign w:val="bottom"/>
          </w:tcPr>
          <w:p w14:paraId="0F3CC709" w14:textId="0CB7E2D3"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305" w:type="dxa"/>
            <w:vAlign w:val="bottom"/>
          </w:tcPr>
          <w:p w14:paraId="29AC5649" w14:textId="05856B02"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455" w:type="dxa"/>
            <w:vAlign w:val="bottom"/>
          </w:tcPr>
          <w:p w14:paraId="5376FE94" w14:textId="5743DA91" w:rsidR="000A5A07" w:rsidRPr="00751136" w:rsidRDefault="00041230" w:rsidP="0003043C">
            <w:pPr>
              <w:tabs>
                <w:tab w:val="right" w:pos="9000"/>
              </w:tabs>
              <w:ind w:left="562" w:right="-72" w:hanging="562"/>
              <w:jc w:val="right"/>
              <w:rPr>
                <w:rFonts w:eastAsia="Angsana New"/>
                <w:color w:val="auto"/>
                <w:sz w:val="18"/>
                <w:szCs w:val="18"/>
                <w:cs/>
                <w:lang w:val="en-GB"/>
              </w:rPr>
            </w:pPr>
            <w:r w:rsidRPr="00751136">
              <w:rPr>
                <w:rFonts w:eastAsia="Angsana New"/>
                <w:color w:val="auto"/>
                <w:sz w:val="18"/>
                <w:szCs w:val="18"/>
                <w:lang w:val="en-GB"/>
              </w:rPr>
              <w:t>11,484,358,682</w:t>
            </w:r>
          </w:p>
        </w:tc>
        <w:tc>
          <w:tcPr>
            <w:tcW w:w="1456" w:type="dxa"/>
            <w:vAlign w:val="bottom"/>
          </w:tcPr>
          <w:p w14:paraId="171163F9" w14:textId="142A9435"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11,484,358,682</w:t>
            </w:r>
          </w:p>
        </w:tc>
      </w:tr>
      <w:tr w:rsidR="000A5A07" w:rsidRPr="00751136" w14:paraId="28A42AC0" w14:textId="77777777" w:rsidTr="00142FDE">
        <w:tc>
          <w:tcPr>
            <w:tcW w:w="3514" w:type="dxa"/>
            <w:vAlign w:val="bottom"/>
          </w:tcPr>
          <w:p w14:paraId="3B73F300" w14:textId="77777777" w:rsidR="000A5A07" w:rsidRPr="00751136" w:rsidRDefault="000A5A07" w:rsidP="0003043C">
            <w:pPr>
              <w:tabs>
                <w:tab w:val="left" w:pos="9098"/>
              </w:tabs>
              <w:ind w:left="-101"/>
              <w:rPr>
                <w:color w:val="auto"/>
                <w:sz w:val="18"/>
                <w:szCs w:val="18"/>
              </w:rPr>
            </w:pPr>
            <w:r w:rsidRPr="00751136">
              <w:rPr>
                <w:color w:val="auto"/>
                <w:sz w:val="18"/>
                <w:szCs w:val="18"/>
              </w:rPr>
              <w:t xml:space="preserve">Investments measured at </w:t>
            </w:r>
          </w:p>
          <w:p w14:paraId="6A3E2735" w14:textId="77777777" w:rsidR="000A5A07" w:rsidRPr="00751136" w:rsidRDefault="000A5A07" w:rsidP="0003043C">
            <w:pPr>
              <w:tabs>
                <w:tab w:val="left" w:pos="9098"/>
              </w:tabs>
              <w:ind w:left="-101"/>
              <w:rPr>
                <w:color w:val="auto"/>
                <w:sz w:val="18"/>
                <w:szCs w:val="18"/>
              </w:rPr>
            </w:pPr>
            <w:r w:rsidRPr="00751136">
              <w:rPr>
                <w:color w:val="auto"/>
                <w:sz w:val="18"/>
                <w:szCs w:val="18"/>
              </w:rPr>
              <w:t xml:space="preserve">   fair value through gain or loss</w:t>
            </w:r>
          </w:p>
        </w:tc>
        <w:tc>
          <w:tcPr>
            <w:tcW w:w="1305" w:type="dxa"/>
            <w:tcBorders>
              <w:bottom w:val="single" w:sz="4" w:space="0" w:color="auto"/>
            </w:tcBorders>
            <w:vAlign w:val="bottom"/>
          </w:tcPr>
          <w:p w14:paraId="6D72FEC8" w14:textId="40846ECD"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305" w:type="dxa"/>
            <w:tcBorders>
              <w:bottom w:val="single" w:sz="4" w:space="0" w:color="auto"/>
            </w:tcBorders>
            <w:vAlign w:val="bottom"/>
          </w:tcPr>
          <w:p w14:paraId="6FA53963" w14:textId="7897A81A"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728,563,719</w:t>
            </w:r>
          </w:p>
        </w:tc>
        <w:tc>
          <w:tcPr>
            <w:tcW w:w="1455" w:type="dxa"/>
            <w:tcBorders>
              <w:bottom w:val="single" w:sz="4" w:space="0" w:color="auto"/>
            </w:tcBorders>
            <w:vAlign w:val="bottom"/>
          </w:tcPr>
          <w:p w14:paraId="30977930" w14:textId="6D18EAA6" w:rsidR="000A5A07" w:rsidRPr="00751136" w:rsidRDefault="00041230" w:rsidP="0003043C">
            <w:pPr>
              <w:tabs>
                <w:tab w:val="right" w:pos="9000"/>
              </w:tabs>
              <w:ind w:left="562" w:right="-72" w:hanging="562"/>
              <w:jc w:val="right"/>
              <w:rPr>
                <w:rFonts w:eastAsia="Angsana New"/>
                <w:color w:val="auto"/>
                <w:sz w:val="18"/>
                <w:szCs w:val="18"/>
                <w:cs/>
                <w:lang w:val="en-GB"/>
              </w:rPr>
            </w:pPr>
            <w:r w:rsidRPr="00751136">
              <w:rPr>
                <w:rFonts w:eastAsia="Angsana New"/>
                <w:color w:val="auto"/>
                <w:sz w:val="18"/>
                <w:szCs w:val="18"/>
                <w:lang w:val="en-GB"/>
              </w:rPr>
              <w:t>-</w:t>
            </w:r>
          </w:p>
        </w:tc>
        <w:tc>
          <w:tcPr>
            <w:tcW w:w="1456" w:type="dxa"/>
            <w:tcBorders>
              <w:bottom w:val="single" w:sz="4" w:space="0" w:color="auto"/>
            </w:tcBorders>
            <w:vAlign w:val="bottom"/>
          </w:tcPr>
          <w:p w14:paraId="3E10E168" w14:textId="37F9CDFF"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728,563,719</w:t>
            </w:r>
          </w:p>
        </w:tc>
      </w:tr>
      <w:tr w:rsidR="000A5A07" w:rsidRPr="00751136" w14:paraId="65B0CFE9" w14:textId="77777777" w:rsidTr="00142FDE">
        <w:tc>
          <w:tcPr>
            <w:tcW w:w="3514" w:type="dxa"/>
            <w:vAlign w:val="bottom"/>
          </w:tcPr>
          <w:p w14:paraId="3D08C4AB" w14:textId="77777777" w:rsidR="000A5A07" w:rsidRPr="00751136" w:rsidRDefault="000A5A07" w:rsidP="0003043C">
            <w:pPr>
              <w:tabs>
                <w:tab w:val="left" w:pos="9098"/>
              </w:tabs>
              <w:ind w:left="-101"/>
              <w:rPr>
                <w:color w:val="auto"/>
                <w:sz w:val="12"/>
                <w:szCs w:val="12"/>
              </w:rPr>
            </w:pPr>
          </w:p>
        </w:tc>
        <w:tc>
          <w:tcPr>
            <w:tcW w:w="1305" w:type="dxa"/>
            <w:tcBorders>
              <w:top w:val="single" w:sz="4" w:space="0" w:color="auto"/>
            </w:tcBorders>
            <w:vAlign w:val="bottom"/>
          </w:tcPr>
          <w:p w14:paraId="146DA173" w14:textId="77777777" w:rsidR="000A5A07" w:rsidRPr="00751136" w:rsidRDefault="000A5A07" w:rsidP="0003043C">
            <w:pPr>
              <w:tabs>
                <w:tab w:val="left" w:pos="9098"/>
              </w:tabs>
              <w:ind w:left="648"/>
              <w:rPr>
                <w:color w:val="auto"/>
                <w:spacing w:val="-6"/>
                <w:sz w:val="12"/>
                <w:szCs w:val="12"/>
              </w:rPr>
            </w:pPr>
          </w:p>
        </w:tc>
        <w:tc>
          <w:tcPr>
            <w:tcW w:w="1305" w:type="dxa"/>
            <w:tcBorders>
              <w:top w:val="single" w:sz="4" w:space="0" w:color="auto"/>
            </w:tcBorders>
            <w:vAlign w:val="bottom"/>
          </w:tcPr>
          <w:p w14:paraId="4CD77DA3" w14:textId="77777777" w:rsidR="000A5A07" w:rsidRPr="00751136" w:rsidRDefault="000A5A07" w:rsidP="0003043C">
            <w:pPr>
              <w:tabs>
                <w:tab w:val="left" w:pos="9098"/>
              </w:tabs>
              <w:ind w:left="648"/>
              <w:rPr>
                <w:color w:val="auto"/>
                <w:spacing w:val="-6"/>
                <w:sz w:val="12"/>
                <w:szCs w:val="12"/>
              </w:rPr>
            </w:pPr>
          </w:p>
        </w:tc>
        <w:tc>
          <w:tcPr>
            <w:tcW w:w="1455" w:type="dxa"/>
            <w:tcBorders>
              <w:top w:val="single" w:sz="4" w:space="0" w:color="auto"/>
            </w:tcBorders>
            <w:vAlign w:val="bottom"/>
          </w:tcPr>
          <w:p w14:paraId="01FBAD49" w14:textId="77777777" w:rsidR="000A5A07" w:rsidRPr="00751136" w:rsidRDefault="000A5A07" w:rsidP="0003043C">
            <w:pPr>
              <w:tabs>
                <w:tab w:val="left" w:pos="9098"/>
              </w:tabs>
              <w:ind w:left="648"/>
              <w:rPr>
                <w:color w:val="auto"/>
                <w:spacing w:val="-6"/>
                <w:sz w:val="12"/>
                <w:szCs w:val="12"/>
              </w:rPr>
            </w:pPr>
          </w:p>
        </w:tc>
        <w:tc>
          <w:tcPr>
            <w:tcW w:w="1456" w:type="dxa"/>
            <w:tcBorders>
              <w:top w:val="single" w:sz="4" w:space="0" w:color="auto"/>
            </w:tcBorders>
            <w:vAlign w:val="bottom"/>
          </w:tcPr>
          <w:p w14:paraId="2F337F8B" w14:textId="77777777" w:rsidR="000A5A07" w:rsidRPr="00751136" w:rsidRDefault="000A5A07" w:rsidP="0003043C">
            <w:pPr>
              <w:tabs>
                <w:tab w:val="left" w:pos="9098"/>
              </w:tabs>
              <w:ind w:left="648"/>
              <w:rPr>
                <w:color w:val="auto"/>
                <w:spacing w:val="-6"/>
                <w:sz w:val="12"/>
                <w:szCs w:val="12"/>
              </w:rPr>
            </w:pPr>
          </w:p>
        </w:tc>
      </w:tr>
      <w:tr w:rsidR="000A5A07" w:rsidRPr="00751136" w14:paraId="3DF352FD" w14:textId="77777777" w:rsidTr="00142FDE">
        <w:trPr>
          <w:trHeight w:val="80"/>
        </w:trPr>
        <w:tc>
          <w:tcPr>
            <w:tcW w:w="3514" w:type="dxa"/>
            <w:vAlign w:val="bottom"/>
          </w:tcPr>
          <w:p w14:paraId="4B251B60" w14:textId="77777777" w:rsidR="000A5A07" w:rsidRPr="00751136" w:rsidRDefault="000A5A07" w:rsidP="0003043C">
            <w:pPr>
              <w:tabs>
                <w:tab w:val="left" w:pos="9098"/>
              </w:tabs>
              <w:ind w:left="-101"/>
              <w:rPr>
                <w:color w:val="auto"/>
                <w:sz w:val="18"/>
                <w:szCs w:val="18"/>
              </w:rPr>
            </w:pPr>
            <w:r w:rsidRPr="00751136">
              <w:rPr>
                <w:color w:val="auto"/>
                <w:sz w:val="18"/>
                <w:szCs w:val="18"/>
              </w:rPr>
              <w:t>Total</w:t>
            </w:r>
          </w:p>
        </w:tc>
        <w:tc>
          <w:tcPr>
            <w:tcW w:w="1305" w:type="dxa"/>
            <w:tcBorders>
              <w:bottom w:val="single" w:sz="4" w:space="0" w:color="auto"/>
            </w:tcBorders>
            <w:vAlign w:val="bottom"/>
          </w:tcPr>
          <w:p w14:paraId="699803C5" w14:textId="0560819D"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305" w:type="dxa"/>
            <w:tcBorders>
              <w:bottom w:val="single" w:sz="4" w:space="0" w:color="auto"/>
            </w:tcBorders>
            <w:vAlign w:val="bottom"/>
          </w:tcPr>
          <w:p w14:paraId="07D58ADD" w14:textId="53059FF2"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728,563,719</w:t>
            </w:r>
          </w:p>
        </w:tc>
        <w:tc>
          <w:tcPr>
            <w:tcW w:w="1455" w:type="dxa"/>
            <w:tcBorders>
              <w:bottom w:val="single" w:sz="4" w:space="0" w:color="auto"/>
            </w:tcBorders>
            <w:vAlign w:val="bottom"/>
          </w:tcPr>
          <w:p w14:paraId="263D0226" w14:textId="435B0B9A" w:rsidR="000A5A07" w:rsidRPr="00751136" w:rsidRDefault="00041230"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11,484,358,682</w:t>
            </w:r>
          </w:p>
        </w:tc>
        <w:tc>
          <w:tcPr>
            <w:tcW w:w="1456" w:type="dxa"/>
            <w:tcBorders>
              <w:bottom w:val="single" w:sz="4" w:space="0" w:color="auto"/>
            </w:tcBorders>
            <w:vAlign w:val="bottom"/>
          </w:tcPr>
          <w:p w14:paraId="0D8838AF" w14:textId="50E0E5DD" w:rsidR="000A5A07" w:rsidRPr="00751136" w:rsidRDefault="00041230" w:rsidP="0003043C">
            <w:pPr>
              <w:tabs>
                <w:tab w:val="right" w:pos="9000"/>
              </w:tabs>
              <w:ind w:left="562" w:right="-72" w:hanging="562"/>
              <w:jc w:val="right"/>
              <w:rPr>
                <w:rFonts w:eastAsia="Angsana New"/>
                <w:color w:val="auto"/>
                <w:sz w:val="18"/>
                <w:szCs w:val="18"/>
                <w:cs/>
                <w:lang w:val="en-GB"/>
              </w:rPr>
            </w:pPr>
            <w:r w:rsidRPr="00751136">
              <w:rPr>
                <w:rFonts w:eastAsia="Angsana New"/>
                <w:color w:val="auto"/>
                <w:sz w:val="18"/>
                <w:szCs w:val="18"/>
                <w:lang w:val="en-GB"/>
              </w:rPr>
              <w:t>12,212,922,401</w:t>
            </w:r>
          </w:p>
        </w:tc>
      </w:tr>
    </w:tbl>
    <w:p w14:paraId="19DEFF65" w14:textId="77777777" w:rsidR="000A5A07" w:rsidRPr="00751136" w:rsidRDefault="000A5A07" w:rsidP="0003043C">
      <w:pPr>
        <w:jc w:val="both"/>
        <w:rPr>
          <w:color w:val="auto"/>
          <w:spacing w:val="-7"/>
        </w:rPr>
      </w:pPr>
    </w:p>
    <w:p w14:paraId="603089B7" w14:textId="15027453" w:rsidR="00B6386F" w:rsidRPr="00751136" w:rsidRDefault="00B6386F" w:rsidP="0003043C">
      <w:pPr>
        <w:jc w:val="both"/>
        <w:rPr>
          <w:b/>
          <w:bCs/>
          <w:color w:val="auto"/>
          <w:spacing w:val="-7"/>
          <w:u w:val="single"/>
          <w:lang w:val="en-GB"/>
        </w:rPr>
      </w:pPr>
      <w:r w:rsidRPr="00751136">
        <w:rPr>
          <w:b/>
          <w:bCs/>
          <w:color w:val="auto"/>
          <w:spacing w:val="-7"/>
          <w:u w:val="single"/>
          <w:lang w:val="en-GB"/>
        </w:rPr>
        <w:t>31</w:t>
      </w:r>
      <w:r w:rsidRPr="00751136">
        <w:rPr>
          <w:b/>
          <w:bCs/>
          <w:color w:val="auto"/>
          <w:spacing w:val="-7"/>
          <w:u w:val="single"/>
        </w:rPr>
        <w:t xml:space="preserve"> December </w:t>
      </w:r>
      <w:r w:rsidR="00E553D2" w:rsidRPr="00751136">
        <w:rPr>
          <w:b/>
          <w:bCs/>
          <w:color w:val="auto"/>
          <w:spacing w:val="-7"/>
          <w:u w:val="single"/>
          <w:lang w:val="en-GB"/>
        </w:rPr>
        <w:t>2024</w:t>
      </w:r>
    </w:p>
    <w:tbl>
      <w:tblPr>
        <w:tblW w:w="9031" w:type="dxa"/>
        <w:tblInd w:w="108" w:type="dxa"/>
        <w:tblLayout w:type="fixed"/>
        <w:tblLook w:val="0000" w:firstRow="0" w:lastRow="0" w:firstColumn="0" w:lastColumn="0" w:noHBand="0" w:noVBand="0"/>
      </w:tblPr>
      <w:tblGrid>
        <w:gridCol w:w="3510"/>
        <w:gridCol w:w="1305"/>
        <w:gridCol w:w="1305"/>
        <w:gridCol w:w="1455"/>
        <w:gridCol w:w="1456"/>
      </w:tblGrid>
      <w:tr w:rsidR="00B6386F" w:rsidRPr="00751136" w14:paraId="7E64D041" w14:textId="77777777" w:rsidTr="002C759A">
        <w:tc>
          <w:tcPr>
            <w:tcW w:w="3510" w:type="dxa"/>
            <w:vAlign w:val="bottom"/>
          </w:tcPr>
          <w:p w14:paraId="41201642" w14:textId="77777777" w:rsidR="00B6386F" w:rsidRPr="00751136" w:rsidRDefault="00B6386F" w:rsidP="0003043C">
            <w:pPr>
              <w:ind w:left="-101"/>
              <w:rPr>
                <w:b/>
                <w:bCs/>
                <w:color w:val="auto"/>
                <w:sz w:val="18"/>
                <w:szCs w:val="18"/>
              </w:rPr>
            </w:pPr>
          </w:p>
        </w:tc>
        <w:tc>
          <w:tcPr>
            <w:tcW w:w="1305" w:type="dxa"/>
            <w:vAlign w:val="bottom"/>
          </w:tcPr>
          <w:p w14:paraId="0702C795" w14:textId="77777777" w:rsidR="00B6386F" w:rsidRPr="00751136" w:rsidRDefault="00B6386F" w:rsidP="0003043C">
            <w:pPr>
              <w:ind w:right="-72"/>
              <w:jc w:val="right"/>
              <w:rPr>
                <w:color w:val="auto"/>
                <w:sz w:val="18"/>
                <w:szCs w:val="18"/>
              </w:rPr>
            </w:pPr>
            <w:r w:rsidRPr="00751136">
              <w:rPr>
                <w:b/>
                <w:bCs/>
                <w:color w:val="auto"/>
                <w:sz w:val="18"/>
                <w:szCs w:val="18"/>
              </w:rPr>
              <w:t xml:space="preserve">Level </w:t>
            </w:r>
            <w:r w:rsidRPr="00751136">
              <w:rPr>
                <w:b/>
                <w:bCs/>
                <w:color w:val="auto"/>
                <w:sz w:val="18"/>
                <w:szCs w:val="18"/>
                <w:lang w:val="en-GB"/>
              </w:rPr>
              <w:t>1</w:t>
            </w:r>
          </w:p>
        </w:tc>
        <w:tc>
          <w:tcPr>
            <w:tcW w:w="1305" w:type="dxa"/>
            <w:vAlign w:val="bottom"/>
          </w:tcPr>
          <w:p w14:paraId="10AF5E4C" w14:textId="77777777" w:rsidR="00B6386F" w:rsidRPr="00751136" w:rsidRDefault="00B6386F" w:rsidP="0003043C">
            <w:pPr>
              <w:ind w:right="-72"/>
              <w:jc w:val="right"/>
              <w:rPr>
                <w:color w:val="auto"/>
                <w:sz w:val="18"/>
                <w:szCs w:val="18"/>
              </w:rPr>
            </w:pPr>
            <w:r w:rsidRPr="00751136">
              <w:rPr>
                <w:b/>
                <w:bCs/>
                <w:color w:val="auto"/>
                <w:sz w:val="18"/>
                <w:szCs w:val="18"/>
              </w:rPr>
              <w:t xml:space="preserve">Level </w:t>
            </w:r>
            <w:r w:rsidRPr="00751136">
              <w:rPr>
                <w:b/>
                <w:bCs/>
                <w:color w:val="auto"/>
                <w:sz w:val="18"/>
                <w:szCs w:val="18"/>
                <w:lang w:val="en-GB"/>
              </w:rPr>
              <w:t>2</w:t>
            </w:r>
          </w:p>
        </w:tc>
        <w:tc>
          <w:tcPr>
            <w:tcW w:w="1455" w:type="dxa"/>
            <w:vAlign w:val="bottom"/>
          </w:tcPr>
          <w:p w14:paraId="32C141CF" w14:textId="77777777" w:rsidR="00B6386F" w:rsidRPr="00751136" w:rsidRDefault="00B6386F" w:rsidP="0003043C">
            <w:pPr>
              <w:ind w:right="-72"/>
              <w:jc w:val="right"/>
              <w:rPr>
                <w:color w:val="auto"/>
                <w:sz w:val="18"/>
                <w:szCs w:val="18"/>
              </w:rPr>
            </w:pPr>
            <w:r w:rsidRPr="00751136">
              <w:rPr>
                <w:b/>
                <w:bCs/>
                <w:color w:val="auto"/>
                <w:sz w:val="18"/>
                <w:szCs w:val="18"/>
              </w:rPr>
              <w:t xml:space="preserve">Level </w:t>
            </w:r>
            <w:r w:rsidRPr="00751136">
              <w:rPr>
                <w:b/>
                <w:bCs/>
                <w:color w:val="auto"/>
                <w:sz w:val="18"/>
                <w:szCs w:val="18"/>
                <w:lang w:val="en-GB"/>
              </w:rPr>
              <w:t>3</w:t>
            </w:r>
          </w:p>
        </w:tc>
        <w:tc>
          <w:tcPr>
            <w:tcW w:w="1456" w:type="dxa"/>
            <w:vAlign w:val="bottom"/>
          </w:tcPr>
          <w:p w14:paraId="3B065E84" w14:textId="77777777" w:rsidR="00B6386F" w:rsidRPr="00751136" w:rsidRDefault="00B6386F" w:rsidP="0003043C">
            <w:pPr>
              <w:ind w:right="-72"/>
              <w:jc w:val="right"/>
              <w:rPr>
                <w:b/>
                <w:bCs/>
                <w:color w:val="auto"/>
                <w:sz w:val="18"/>
                <w:szCs w:val="18"/>
              </w:rPr>
            </w:pPr>
            <w:r w:rsidRPr="00751136">
              <w:rPr>
                <w:b/>
                <w:bCs/>
                <w:color w:val="auto"/>
                <w:sz w:val="18"/>
                <w:szCs w:val="18"/>
              </w:rPr>
              <w:t>Total</w:t>
            </w:r>
          </w:p>
        </w:tc>
      </w:tr>
      <w:tr w:rsidR="00B6386F" w:rsidRPr="00751136" w14:paraId="548C7418" w14:textId="77777777" w:rsidTr="002C759A">
        <w:tc>
          <w:tcPr>
            <w:tcW w:w="3510" w:type="dxa"/>
            <w:vAlign w:val="bottom"/>
          </w:tcPr>
          <w:p w14:paraId="7C9659CD" w14:textId="77777777" w:rsidR="00B6386F" w:rsidRPr="00751136" w:rsidRDefault="00B6386F" w:rsidP="0003043C">
            <w:pPr>
              <w:ind w:left="-101"/>
              <w:rPr>
                <w:color w:val="auto"/>
                <w:sz w:val="18"/>
                <w:szCs w:val="18"/>
              </w:rPr>
            </w:pPr>
          </w:p>
        </w:tc>
        <w:tc>
          <w:tcPr>
            <w:tcW w:w="1305" w:type="dxa"/>
            <w:tcBorders>
              <w:bottom w:val="single" w:sz="4" w:space="0" w:color="auto"/>
            </w:tcBorders>
            <w:vAlign w:val="bottom"/>
          </w:tcPr>
          <w:p w14:paraId="2F0007FB" w14:textId="77777777" w:rsidR="00B6386F" w:rsidRPr="00751136" w:rsidRDefault="00B6386F" w:rsidP="0003043C">
            <w:pPr>
              <w:ind w:right="-72"/>
              <w:jc w:val="right"/>
              <w:rPr>
                <w:color w:val="auto"/>
                <w:sz w:val="18"/>
                <w:szCs w:val="18"/>
              </w:rPr>
            </w:pPr>
            <w:r w:rsidRPr="00751136">
              <w:rPr>
                <w:b/>
                <w:bCs/>
                <w:color w:val="auto"/>
                <w:sz w:val="18"/>
                <w:szCs w:val="18"/>
              </w:rPr>
              <w:t>Baht</w:t>
            </w:r>
          </w:p>
        </w:tc>
        <w:tc>
          <w:tcPr>
            <w:tcW w:w="1305" w:type="dxa"/>
            <w:tcBorders>
              <w:bottom w:val="single" w:sz="4" w:space="0" w:color="auto"/>
            </w:tcBorders>
            <w:vAlign w:val="bottom"/>
          </w:tcPr>
          <w:p w14:paraId="2F3F016D" w14:textId="77777777" w:rsidR="00B6386F" w:rsidRPr="00751136" w:rsidRDefault="00B6386F" w:rsidP="0003043C">
            <w:pPr>
              <w:ind w:right="-72"/>
              <w:jc w:val="right"/>
              <w:rPr>
                <w:color w:val="auto"/>
                <w:sz w:val="18"/>
                <w:szCs w:val="18"/>
              </w:rPr>
            </w:pPr>
            <w:r w:rsidRPr="00751136">
              <w:rPr>
                <w:b/>
                <w:bCs/>
                <w:color w:val="auto"/>
                <w:sz w:val="18"/>
                <w:szCs w:val="18"/>
              </w:rPr>
              <w:t>Baht</w:t>
            </w:r>
          </w:p>
        </w:tc>
        <w:tc>
          <w:tcPr>
            <w:tcW w:w="1455" w:type="dxa"/>
            <w:tcBorders>
              <w:bottom w:val="single" w:sz="4" w:space="0" w:color="auto"/>
            </w:tcBorders>
            <w:vAlign w:val="bottom"/>
          </w:tcPr>
          <w:p w14:paraId="1F2672E3" w14:textId="77777777" w:rsidR="00B6386F" w:rsidRPr="00751136" w:rsidRDefault="00B6386F" w:rsidP="0003043C">
            <w:pPr>
              <w:ind w:right="-72"/>
              <w:jc w:val="right"/>
              <w:rPr>
                <w:color w:val="auto"/>
                <w:sz w:val="18"/>
                <w:szCs w:val="18"/>
              </w:rPr>
            </w:pPr>
            <w:r w:rsidRPr="00751136">
              <w:rPr>
                <w:b/>
                <w:bCs/>
                <w:color w:val="auto"/>
                <w:sz w:val="18"/>
                <w:szCs w:val="18"/>
              </w:rPr>
              <w:t>Baht</w:t>
            </w:r>
          </w:p>
        </w:tc>
        <w:tc>
          <w:tcPr>
            <w:tcW w:w="1456" w:type="dxa"/>
            <w:tcBorders>
              <w:bottom w:val="single" w:sz="4" w:space="0" w:color="auto"/>
            </w:tcBorders>
            <w:vAlign w:val="bottom"/>
          </w:tcPr>
          <w:p w14:paraId="21124276" w14:textId="77777777" w:rsidR="00B6386F" w:rsidRPr="00751136" w:rsidRDefault="00B6386F" w:rsidP="0003043C">
            <w:pPr>
              <w:ind w:right="-72"/>
              <w:jc w:val="right"/>
              <w:rPr>
                <w:color w:val="auto"/>
                <w:sz w:val="18"/>
                <w:szCs w:val="18"/>
              </w:rPr>
            </w:pPr>
            <w:r w:rsidRPr="00751136">
              <w:rPr>
                <w:b/>
                <w:bCs/>
                <w:color w:val="auto"/>
                <w:sz w:val="18"/>
                <w:szCs w:val="18"/>
              </w:rPr>
              <w:t>Baht</w:t>
            </w:r>
          </w:p>
        </w:tc>
      </w:tr>
      <w:tr w:rsidR="00B6386F" w:rsidRPr="00751136" w14:paraId="7E6ED5F7" w14:textId="77777777" w:rsidTr="002C759A">
        <w:tc>
          <w:tcPr>
            <w:tcW w:w="3510" w:type="dxa"/>
            <w:vAlign w:val="bottom"/>
          </w:tcPr>
          <w:p w14:paraId="2B4EA4A5" w14:textId="77777777" w:rsidR="00B6386F" w:rsidRPr="00751136" w:rsidRDefault="00B6386F" w:rsidP="0003043C">
            <w:pPr>
              <w:tabs>
                <w:tab w:val="left" w:pos="9098"/>
              </w:tabs>
              <w:ind w:left="-101"/>
              <w:rPr>
                <w:color w:val="auto"/>
                <w:sz w:val="12"/>
                <w:szCs w:val="12"/>
              </w:rPr>
            </w:pPr>
          </w:p>
        </w:tc>
        <w:tc>
          <w:tcPr>
            <w:tcW w:w="1305" w:type="dxa"/>
            <w:tcBorders>
              <w:top w:val="single" w:sz="4" w:space="0" w:color="auto"/>
            </w:tcBorders>
            <w:vAlign w:val="bottom"/>
          </w:tcPr>
          <w:p w14:paraId="030F2550" w14:textId="77777777" w:rsidR="00B6386F" w:rsidRPr="00751136" w:rsidRDefault="00B6386F" w:rsidP="0003043C">
            <w:pPr>
              <w:ind w:right="-72"/>
              <w:jc w:val="right"/>
              <w:rPr>
                <w:color w:val="auto"/>
                <w:sz w:val="12"/>
                <w:szCs w:val="12"/>
              </w:rPr>
            </w:pPr>
          </w:p>
        </w:tc>
        <w:tc>
          <w:tcPr>
            <w:tcW w:w="1305" w:type="dxa"/>
            <w:tcBorders>
              <w:top w:val="single" w:sz="4" w:space="0" w:color="auto"/>
            </w:tcBorders>
            <w:vAlign w:val="bottom"/>
          </w:tcPr>
          <w:p w14:paraId="77171998" w14:textId="77777777" w:rsidR="00B6386F" w:rsidRPr="00751136" w:rsidRDefault="00B6386F" w:rsidP="0003043C">
            <w:pPr>
              <w:ind w:right="-72"/>
              <w:jc w:val="right"/>
              <w:rPr>
                <w:color w:val="auto"/>
                <w:sz w:val="12"/>
                <w:szCs w:val="12"/>
              </w:rPr>
            </w:pPr>
          </w:p>
        </w:tc>
        <w:tc>
          <w:tcPr>
            <w:tcW w:w="1455" w:type="dxa"/>
            <w:tcBorders>
              <w:top w:val="single" w:sz="4" w:space="0" w:color="auto"/>
            </w:tcBorders>
            <w:vAlign w:val="bottom"/>
          </w:tcPr>
          <w:p w14:paraId="4C3DCA84" w14:textId="77777777" w:rsidR="00B6386F" w:rsidRPr="00751136" w:rsidRDefault="00B6386F" w:rsidP="0003043C">
            <w:pPr>
              <w:ind w:right="-72"/>
              <w:jc w:val="right"/>
              <w:rPr>
                <w:color w:val="auto"/>
                <w:sz w:val="12"/>
                <w:szCs w:val="12"/>
              </w:rPr>
            </w:pPr>
          </w:p>
        </w:tc>
        <w:tc>
          <w:tcPr>
            <w:tcW w:w="1456" w:type="dxa"/>
            <w:tcBorders>
              <w:top w:val="single" w:sz="4" w:space="0" w:color="auto"/>
            </w:tcBorders>
            <w:vAlign w:val="bottom"/>
          </w:tcPr>
          <w:p w14:paraId="798F02E4" w14:textId="77777777" w:rsidR="00B6386F" w:rsidRPr="00751136" w:rsidRDefault="00B6386F" w:rsidP="0003043C">
            <w:pPr>
              <w:ind w:right="-72"/>
              <w:jc w:val="right"/>
              <w:rPr>
                <w:color w:val="auto"/>
                <w:sz w:val="12"/>
                <w:szCs w:val="12"/>
              </w:rPr>
            </w:pPr>
          </w:p>
        </w:tc>
      </w:tr>
      <w:tr w:rsidR="00B6386F" w:rsidRPr="00751136" w14:paraId="16E4944F" w14:textId="77777777" w:rsidTr="002C759A">
        <w:tc>
          <w:tcPr>
            <w:tcW w:w="3510" w:type="dxa"/>
            <w:vAlign w:val="bottom"/>
          </w:tcPr>
          <w:p w14:paraId="6DB1E3F2" w14:textId="6B42D244" w:rsidR="00B6386F" w:rsidRPr="00751136" w:rsidRDefault="00B6386F" w:rsidP="0003043C">
            <w:pPr>
              <w:tabs>
                <w:tab w:val="left" w:pos="9098"/>
              </w:tabs>
              <w:ind w:left="-101"/>
              <w:rPr>
                <w:color w:val="auto"/>
                <w:sz w:val="18"/>
                <w:szCs w:val="18"/>
                <w:lang w:val="en-GB"/>
              </w:rPr>
            </w:pPr>
            <w:r w:rsidRPr="00751136">
              <w:rPr>
                <w:color w:val="auto"/>
                <w:sz w:val="18"/>
                <w:szCs w:val="18"/>
              </w:rPr>
              <w:t>Investments in properties</w:t>
            </w:r>
            <w:r w:rsidRPr="00751136">
              <w:rPr>
                <w:color w:val="auto"/>
                <w:sz w:val="18"/>
                <w:szCs w:val="18"/>
                <w:cs/>
              </w:rPr>
              <w:t xml:space="preserve"> </w:t>
            </w:r>
            <w:r w:rsidRPr="00751136">
              <w:rPr>
                <w:color w:val="auto"/>
                <w:sz w:val="18"/>
                <w:szCs w:val="18"/>
                <w:lang w:val="en-GB"/>
              </w:rPr>
              <w:t>at fair value</w:t>
            </w:r>
          </w:p>
        </w:tc>
        <w:tc>
          <w:tcPr>
            <w:tcW w:w="1305" w:type="dxa"/>
            <w:vAlign w:val="bottom"/>
          </w:tcPr>
          <w:p w14:paraId="5C82AFBA" w14:textId="3B7A8F6E"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305" w:type="dxa"/>
            <w:vAlign w:val="bottom"/>
          </w:tcPr>
          <w:p w14:paraId="1C9C534E" w14:textId="67DD499F"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455" w:type="dxa"/>
            <w:vAlign w:val="bottom"/>
          </w:tcPr>
          <w:p w14:paraId="34349DEB" w14:textId="0C3C7D1F" w:rsidR="00B6386F" w:rsidRPr="00751136" w:rsidRDefault="00D8276A" w:rsidP="0003043C">
            <w:pPr>
              <w:tabs>
                <w:tab w:val="right" w:pos="9000"/>
              </w:tabs>
              <w:ind w:left="562" w:right="-72" w:hanging="562"/>
              <w:jc w:val="right"/>
              <w:rPr>
                <w:rFonts w:eastAsia="Angsana New"/>
                <w:color w:val="auto"/>
                <w:sz w:val="18"/>
                <w:szCs w:val="18"/>
                <w:cs/>
                <w:lang w:val="en-GB"/>
              </w:rPr>
            </w:pPr>
            <w:r w:rsidRPr="00751136">
              <w:rPr>
                <w:rFonts w:eastAsia="Angsana New"/>
                <w:color w:val="auto"/>
                <w:sz w:val="18"/>
                <w:szCs w:val="18"/>
                <w:lang w:val="en-GB"/>
              </w:rPr>
              <w:t>11,295,466,407</w:t>
            </w:r>
          </w:p>
        </w:tc>
        <w:tc>
          <w:tcPr>
            <w:tcW w:w="1456" w:type="dxa"/>
            <w:vAlign w:val="bottom"/>
          </w:tcPr>
          <w:p w14:paraId="619B1E41" w14:textId="31B7CDA7"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11,295,466,407</w:t>
            </w:r>
          </w:p>
        </w:tc>
      </w:tr>
      <w:tr w:rsidR="00B6386F" w:rsidRPr="00751136" w14:paraId="79152956" w14:textId="77777777" w:rsidTr="002C759A">
        <w:tc>
          <w:tcPr>
            <w:tcW w:w="3510" w:type="dxa"/>
            <w:vAlign w:val="bottom"/>
          </w:tcPr>
          <w:p w14:paraId="5A1A555E" w14:textId="77777777" w:rsidR="00B6386F" w:rsidRPr="00751136" w:rsidRDefault="00B6386F" w:rsidP="0003043C">
            <w:pPr>
              <w:tabs>
                <w:tab w:val="left" w:pos="9098"/>
              </w:tabs>
              <w:ind w:left="-101"/>
              <w:rPr>
                <w:color w:val="auto"/>
                <w:sz w:val="18"/>
                <w:szCs w:val="18"/>
              </w:rPr>
            </w:pPr>
            <w:r w:rsidRPr="00751136">
              <w:rPr>
                <w:color w:val="auto"/>
                <w:sz w:val="18"/>
                <w:szCs w:val="18"/>
              </w:rPr>
              <w:t xml:space="preserve">Investments measured at </w:t>
            </w:r>
          </w:p>
          <w:p w14:paraId="3F49D99B" w14:textId="208F6AA2" w:rsidR="00B6386F" w:rsidRPr="00751136" w:rsidRDefault="00B6386F" w:rsidP="0003043C">
            <w:pPr>
              <w:tabs>
                <w:tab w:val="left" w:pos="9098"/>
              </w:tabs>
              <w:ind w:left="-101"/>
              <w:rPr>
                <w:color w:val="auto"/>
                <w:sz w:val="18"/>
                <w:szCs w:val="18"/>
              </w:rPr>
            </w:pPr>
            <w:r w:rsidRPr="00751136">
              <w:rPr>
                <w:color w:val="auto"/>
                <w:sz w:val="18"/>
                <w:szCs w:val="18"/>
              </w:rPr>
              <w:t xml:space="preserve">   fair value through </w:t>
            </w:r>
            <w:r w:rsidR="000C761F" w:rsidRPr="00751136">
              <w:rPr>
                <w:color w:val="auto"/>
                <w:sz w:val="18"/>
                <w:szCs w:val="18"/>
              </w:rPr>
              <w:t>gain</w:t>
            </w:r>
            <w:r w:rsidRPr="00751136">
              <w:rPr>
                <w:color w:val="auto"/>
                <w:sz w:val="18"/>
                <w:szCs w:val="18"/>
              </w:rPr>
              <w:t xml:space="preserve"> or loss</w:t>
            </w:r>
          </w:p>
        </w:tc>
        <w:tc>
          <w:tcPr>
            <w:tcW w:w="1305" w:type="dxa"/>
            <w:tcBorders>
              <w:bottom w:val="single" w:sz="4" w:space="0" w:color="auto"/>
            </w:tcBorders>
            <w:vAlign w:val="bottom"/>
          </w:tcPr>
          <w:p w14:paraId="0F2DDCB6" w14:textId="2F5E50B9"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305" w:type="dxa"/>
            <w:tcBorders>
              <w:bottom w:val="single" w:sz="4" w:space="0" w:color="auto"/>
            </w:tcBorders>
            <w:vAlign w:val="bottom"/>
          </w:tcPr>
          <w:p w14:paraId="6D78FDF1" w14:textId="1A9CD7BF"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409,295,674</w:t>
            </w:r>
          </w:p>
        </w:tc>
        <w:tc>
          <w:tcPr>
            <w:tcW w:w="1455" w:type="dxa"/>
            <w:tcBorders>
              <w:bottom w:val="single" w:sz="4" w:space="0" w:color="auto"/>
            </w:tcBorders>
            <w:vAlign w:val="bottom"/>
          </w:tcPr>
          <w:p w14:paraId="55B2FFDC" w14:textId="141B6C1E" w:rsidR="00B6386F" w:rsidRPr="00751136" w:rsidRDefault="00D8276A" w:rsidP="0003043C">
            <w:pPr>
              <w:tabs>
                <w:tab w:val="right" w:pos="9000"/>
              </w:tabs>
              <w:ind w:left="562" w:right="-72" w:hanging="562"/>
              <w:jc w:val="right"/>
              <w:rPr>
                <w:rFonts w:eastAsia="Angsana New"/>
                <w:color w:val="auto"/>
                <w:sz w:val="18"/>
                <w:szCs w:val="18"/>
                <w:cs/>
                <w:lang w:val="en-GB"/>
              </w:rPr>
            </w:pPr>
            <w:r w:rsidRPr="00751136">
              <w:rPr>
                <w:rFonts w:eastAsia="Angsana New"/>
                <w:color w:val="auto"/>
                <w:sz w:val="18"/>
                <w:szCs w:val="18"/>
                <w:lang w:val="en-GB"/>
              </w:rPr>
              <w:t>-</w:t>
            </w:r>
          </w:p>
        </w:tc>
        <w:tc>
          <w:tcPr>
            <w:tcW w:w="1456" w:type="dxa"/>
            <w:tcBorders>
              <w:bottom w:val="single" w:sz="4" w:space="0" w:color="auto"/>
            </w:tcBorders>
            <w:vAlign w:val="bottom"/>
          </w:tcPr>
          <w:p w14:paraId="4F0E77C2" w14:textId="3A817968"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409,295,674</w:t>
            </w:r>
          </w:p>
        </w:tc>
      </w:tr>
      <w:tr w:rsidR="00B6386F" w:rsidRPr="00751136" w14:paraId="29BBCAB2" w14:textId="77777777" w:rsidTr="002C759A">
        <w:tc>
          <w:tcPr>
            <w:tcW w:w="3510" w:type="dxa"/>
            <w:vAlign w:val="bottom"/>
          </w:tcPr>
          <w:p w14:paraId="3BDFBC9B" w14:textId="77777777" w:rsidR="00B6386F" w:rsidRPr="00751136" w:rsidRDefault="00B6386F" w:rsidP="0003043C">
            <w:pPr>
              <w:tabs>
                <w:tab w:val="left" w:pos="9098"/>
              </w:tabs>
              <w:ind w:left="-101"/>
              <w:rPr>
                <w:color w:val="auto"/>
                <w:sz w:val="12"/>
                <w:szCs w:val="12"/>
              </w:rPr>
            </w:pPr>
          </w:p>
        </w:tc>
        <w:tc>
          <w:tcPr>
            <w:tcW w:w="1305" w:type="dxa"/>
            <w:tcBorders>
              <w:top w:val="single" w:sz="4" w:space="0" w:color="auto"/>
            </w:tcBorders>
            <w:vAlign w:val="bottom"/>
          </w:tcPr>
          <w:p w14:paraId="11536399" w14:textId="77777777" w:rsidR="00B6386F" w:rsidRPr="00751136" w:rsidRDefault="00B6386F" w:rsidP="0003043C">
            <w:pPr>
              <w:tabs>
                <w:tab w:val="left" w:pos="9098"/>
              </w:tabs>
              <w:ind w:left="648"/>
              <w:rPr>
                <w:color w:val="auto"/>
                <w:spacing w:val="-6"/>
                <w:sz w:val="12"/>
                <w:szCs w:val="12"/>
              </w:rPr>
            </w:pPr>
          </w:p>
        </w:tc>
        <w:tc>
          <w:tcPr>
            <w:tcW w:w="1305" w:type="dxa"/>
            <w:tcBorders>
              <w:top w:val="single" w:sz="4" w:space="0" w:color="auto"/>
            </w:tcBorders>
            <w:vAlign w:val="bottom"/>
          </w:tcPr>
          <w:p w14:paraId="47209D87" w14:textId="77777777" w:rsidR="00B6386F" w:rsidRPr="00751136" w:rsidRDefault="00B6386F" w:rsidP="0003043C">
            <w:pPr>
              <w:tabs>
                <w:tab w:val="left" w:pos="9098"/>
              </w:tabs>
              <w:ind w:left="648"/>
              <w:rPr>
                <w:color w:val="auto"/>
                <w:spacing w:val="-6"/>
                <w:sz w:val="12"/>
                <w:szCs w:val="12"/>
              </w:rPr>
            </w:pPr>
          </w:p>
        </w:tc>
        <w:tc>
          <w:tcPr>
            <w:tcW w:w="1455" w:type="dxa"/>
            <w:tcBorders>
              <w:top w:val="single" w:sz="4" w:space="0" w:color="auto"/>
            </w:tcBorders>
            <w:vAlign w:val="bottom"/>
          </w:tcPr>
          <w:p w14:paraId="49481FAE" w14:textId="77777777" w:rsidR="00B6386F" w:rsidRPr="00751136" w:rsidRDefault="00B6386F" w:rsidP="0003043C">
            <w:pPr>
              <w:tabs>
                <w:tab w:val="left" w:pos="9098"/>
              </w:tabs>
              <w:ind w:left="648"/>
              <w:rPr>
                <w:color w:val="auto"/>
                <w:spacing w:val="-6"/>
                <w:sz w:val="12"/>
                <w:szCs w:val="12"/>
              </w:rPr>
            </w:pPr>
          </w:p>
        </w:tc>
        <w:tc>
          <w:tcPr>
            <w:tcW w:w="1456" w:type="dxa"/>
            <w:tcBorders>
              <w:top w:val="single" w:sz="4" w:space="0" w:color="auto"/>
            </w:tcBorders>
            <w:vAlign w:val="bottom"/>
          </w:tcPr>
          <w:p w14:paraId="6EF435AB" w14:textId="77777777" w:rsidR="00B6386F" w:rsidRPr="00751136" w:rsidRDefault="00B6386F" w:rsidP="0003043C">
            <w:pPr>
              <w:tabs>
                <w:tab w:val="left" w:pos="9098"/>
              </w:tabs>
              <w:ind w:left="648"/>
              <w:rPr>
                <w:color w:val="auto"/>
                <w:spacing w:val="-6"/>
                <w:sz w:val="12"/>
                <w:szCs w:val="12"/>
              </w:rPr>
            </w:pPr>
          </w:p>
        </w:tc>
      </w:tr>
      <w:tr w:rsidR="00B6386F" w:rsidRPr="00751136" w14:paraId="1E907781" w14:textId="77777777" w:rsidTr="002C759A">
        <w:trPr>
          <w:trHeight w:val="80"/>
        </w:trPr>
        <w:tc>
          <w:tcPr>
            <w:tcW w:w="3510" w:type="dxa"/>
            <w:vAlign w:val="bottom"/>
          </w:tcPr>
          <w:p w14:paraId="245BE5F5" w14:textId="77777777" w:rsidR="00B6386F" w:rsidRPr="00751136" w:rsidRDefault="00B6386F" w:rsidP="0003043C">
            <w:pPr>
              <w:tabs>
                <w:tab w:val="left" w:pos="9098"/>
              </w:tabs>
              <w:ind w:left="-101"/>
              <w:rPr>
                <w:color w:val="auto"/>
                <w:sz w:val="18"/>
                <w:szCs w:val="18"/>
              </w:rPr>
            </w:pPr>
            <w:r w:rsidRPr="00751136">
              <w:rPr>
                <w:color w:val="auto"/>
                <w:sz w:val="18"/>
                <w:szCs w:val="18"/>
              </w:rPr>
              <w:t>Total</w:t>
            </w:r>
          </w:p>
        </w:tc>
        <w:tc>
          <w:tcPr>
            <w:tcW w:w="1305" w:type="dxa"/>
            <w:tcBorders>
              <w:bottom w:val="single" w:sz="4" w:space="0" w:color="auto"/>
            </w:tcBorders>
            <w:vAlign w:val="bottom"/>
          </w:tcPr>
          <w:p w14:paraId="7491B2EE" w14:textId="504B9BA1"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w:t>
            </w:r>
          </w:p>
        </w:tc>
        <w:tc>
          <w:tcPr>
            <w:tcW w:w="1305" w:type="dxa"/>
            <w:tcBorders>
              <w:bottom w:val="single" w:sz="4" w:space="0" w:color="auto"/>
            </w:tcBorders>
            <w:vAlign w:val="bottom"/>
          </w:tcPr>
          <w:p w14:paraId="148A46E1" w14:textId="06785303"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409,295,674</w:t>
            </w:r>
          </w:p>
        </w:tc>
        <w:tc>
          <w:tcPr>
            <w:tcW w:w="1455" w:type="dxa"/>
            <w:tcBorders>
              <w:bottom w:val="single" w:sz="4" w:space="0" w:color="auto"/>
            </w:tcBorders>
            <w:vAlign w:val="bottom"/>
          </w:tcPr>
          <w:p w14:paraId="17CDE74E" w14:textId="0DB25608" w:rsidR="00B6386F" w:rsidRPr="00751136" w:rsidRDefault="00D8276A" w:rsidP="0003043C">
            <w:pPr>
              <w:tabs>
                <w:tab w:val="right" w:pos="9000"/>
              </w:tabs>
              <w:ind w:left="562" w:right="-72" w:hanging="562"/>
              <w:jc w:val="right"/>
              <w:rPr>
                <w:rFonts w:eastAsia="Angsana New"/>
                <w:color w:val="auto"/>
                <w:sz w:val="18"/>
                <w:szCs w:val="18"/>
                <w:lang w:val="en-GB"/>
              </w:rPr>
            </w:pPr>
            <w:r w:rsidRPr="00751136">
              <w:rPr>
                <w:rFonts w:eastAsia="Angsana New"/>
                <w:color w:val="auto"/>
                <w:sz w:val="18"/>
                <w:szCs w:val="18"/>
                <w:lang w:val="en-GB"/>
              </w:rPr>
              <w:t>11,295,466,407</w:t>
            </w:r>
          </w:p>
        </w:tc>
        <w:tc>
          <w:tcPr>
            <w:tcW w:w="1456" w:type="dxa"/>
            <w:tcBorders>
              <w:bottom w:val="single" w:sz="4" w:space="0" w:color="auto"/>
            </w:tcBorders>
            <w:vAlign w:val="bottom"/>
          </w:tcPr>
          <w:p w14:paraId="512F4C57" w14:textId="07F5C785" w:rsidR="00B6386F" w:rsidRPr="00751136" w:rsidRDefault="00D8276A" w:rsidP="0003043C">
            <w:pPr>
              <w:tabs>
                <w:tab w:val="right" w:pos="9000"/>
              </w:tabs>
              <w:ind w:left="562" w:right="-72" w:hanging="562"/>
              <w:jc w:val="right"/>
              <w:rPr>
                <w:rFonts w:eastAsia="Angsana New"/>
                <w:color w:val="auto"/>
                <w:sz w:val="18"/>
                <w:szCs w:val="18"/>
                <w:cs/>
                <w:lang w:val="en-GB"/>
              </w:rPr>
            </w:pPr>
            <w:r w:rsidRPr="00751136">
              <w:rPr>
                <w:rFonts w:eastAsia="Angsana New"/>
                <w:color w:val="auto"/>
                <w:sz w:val="18"/>
                <w:szCs w:val="18"/>
                <w:lang w:val="en-GB"/>
              </w:rPr>
              <w:t>11,704,762,081</w:t>
            </w:r>
          </w:p>
        </w:tc>
      </w:tr>
    </w:tbl>
    <w:p w14:paraId="1ECB7E8B" w14:textId="77777777" w:rsidR="00B6386F" w:rsidRPr="00917077" w:rsidRDefault="00B6386F" w:rsidP="0003043C">
      <w:pPr>
        <w:jc w:val="both"/>
        <w:rPr>
          <w:color w:val="auto"/>
          <w:spacing w:val="-7"/>
          <w:sz w:val="16"/>
          <w:szCs w:val="16"/>
        </w:rPr>
      </w:pPr>
    </w:p>
    <w:p w14:paraId="4AF4DEF2" w14:textId="1E2CEF0E" w:rsidR="009B3D1F" w:rsidRPr="00751136" w:rsidRDefault="00990669" w:rsidP="0003043C">
      <w:pPr>
        <w:jc w:val="both"/>
        <w:rPr>
          <w:color w:val="auto"/>
        </w:rPr>
      </w:pPr>
      <w:r w:rsidRPr="00751136">
        <w:rPr>
          <w:color w:val="auto"/>
          <w:spacing w:val="-7"/>
        </w:rPr>
        <w:t>There were</w:t>
      </w:r>
      <w:r w:rsidRPr="00751136">
        <w:rPr>
          <w:color w:val="auto"/>
        </w:rPr>
        <w:t xml:space="preserve"> no transfers between fair value hierarchies during the </w:t>
      </w:r>
      <w:r w:rsidR="00952DD5" w:rsidRPr="00751136">
        <w:rPr>
          <w:color w:val="auto"/>
        </w:rPr>
        <w:t>year</w:t>
      </w:r>
      <w:r w:rsidRPr="00751136">
        <w:rPr>
          <w:color w:val="auto"/>
        </w:rPr>
        <w:t>.</w:t>
      </w:r>
    </w:p>
    <w:p w14:paraId="6FCE1B3A" w14:textId="77777777" w:rsidR="000A5A07" w:rsidRPr="00917077" w:rsidRDefault="000A5A07" w:rsidP="0003043C">
      <w:pPr>
        <w:jc w:val="both"/>
        <w:rPr>
          <w:color w:val="auto"/>
          <w:spacing w:val="-7"/>
          <w:sz w:val="16"/>
          <w:szCs w:val="16"/>
        </w:rPr>
      </w:pPr>
    </w:p>
    <w:p w14:paraId="108B5011" w14:textId="626552F7" w:rsidR="009379DC" w:rsidRPr="00751136" w:rsidRDefault="009379DC" w:rsidP="0003043C">
      <w:pPr>
        <w:jc w:val="both"/>
        <w:rPr>
          <w:color w:val="auto"/>
          <w:spacing w:val="-8"/>
        </w:rPr>
      </w:pPr>
      <w:r w:rsidRPr="00751136">
        <w:rPr>
          <w:color w:val="auto"/>
          <w:spacing w:val="-6"/>
        </w:rPr>
        <w:t xml:space="preserve">Level </w:t>
      </w:r>
      <w:r w:rsidR="001659E8" w:rsidRPr="00751136">
        <w:rPr>
          <w:color w:val="auto"/>
          <w:spacing w:val="-6"/>
          <w:lang w:val="en-GB"/>
        </w:rPr>
        <w:t>2</w:t>
      </w:r>
      <w:r w:rsidRPr="00751136">
        <w:rPr>
          <w:color w:val="auto"/>
          <w:spacing w:val="-6"/>
        </w:rPr>
        <w:t xml:space="preserve"> investments measured at fair </w:t>
      </w:r>
      <w:r w:rsidR="000D485B" w:rsidRPr="00751136">
        <w:rPr>
          <w:color w:val="auto"/>
          <w:spacing w:val="-6"/>
        </w:rPr>
        <w:t xml:space="preserve">value </w:t>
      </w:r>
      <w:r w:rsidRPr="00751136">
        <w:rPr>
          <w:color w:val="auto"/>
          <w:spacing w:val="-6"/>
        </w:rPr>
        <w:t>through profit or loss comprise of Bank of Thailand bonds</w:t>
      </w:r>
      <w:r w:rsidRPr="00751136">
        <w:rPr>
          <w:color w:val="auto"/>
        </w:rPr>
        <w:t xml:space="preserve"> </w:t>
      </w:r>
      <w:r w:rsidRPr="00751136">
        <w:rPr>
          <w:color w:val="auto"/>
          <w:spacing w:val="-8"/>
        </w:rPr>
        <w:t>which are fair valued by using the yield curve which is announced by the Thai Bond Market Association.</w:t>
      </w:r>
    </w:p>
    <w:p w14:paraId="3F2F976F" w14:textId="32163AF7" w:rsidR="00F3213A" w:rsidRPr="00917077" w:rsidRDefault="00F3213A" w:rsidP="0003043C">
      <w:pPr>
        <w:jc w:val="both"/>
        <w:rPr>
          <w:color w:val="auto"/>
          <w:spacing w:val="-7"/>
          <w:sz w:val="16"/>
          <w:szCs w:val="16"/>
        </w:rPr>
      </w:pPr>
    </w:p>
    <w:p w14:paraId="5F00BBAA" w14:textId="2914D2AB" w:rsidR="001D3C52" w:rsidRPr="00751136" w:rsidRDefault="001D3C52" w:rsidP="0003043C">
      <w:pPr>
        <w:jc w:val="both"/>
        <w:rPr>
          <w:color w:val="auto"/>
        </w:rPr>
      </w:pPr>
      <w:r w:rsidRPr="00751136">
        <w:rPr>
          <w:color w:val="auto"/>
          <w:spacing w:val="-4"/>
        </w:rPr>
        <w:t xml:space="preserve">The </w:t>
      </w:r>
      <w:r w:rsidR="000C1DE1" w:rsidRPr="00751136">
        <w:rPr>
          <w:color w:val="auto"/>
          <w:spacing w:val="-4"/>
        </w:rPr>
        <w:t>REIT Manager</w:t>
      </w:r>
      <w:r w:rsidRPr="00751136">
        <w:rPr>
          <w:color w:val="auto"/>
          <w:spacing w:val="-4"/>
        </w:rPr>
        <w:t xml:space="preserve"> valued the investment</w:t>
      </w:r>
      <w:r w:rsidR="003F703D" w:rsidRPr="00751136">
        <w:rPr>
          <w:color w:val="auto"/>
          <w:spacing w:val="-4"/>
        </w:rPr>
        <w:t>s</w:t>
      </w:r>
      <w:r w:rsidRPr="00751136">
        <w:rPr>
          <w:color w:val="auto"/>
          <w:spacing w:val="-4"/>
        </w:rPr>
        <w:t xml:space="preserve"> in properties by engaging independent professionally qualified valuer (“Independent Valuer”) who holds a </w:t>
      </w:r>
      <w:proofErr w:type="spellStart"/>
      <w:r w:rsidRPr="00751136">
        <w:rPr>
          <w:color w:val="auto"/>
          <w:spacing w:val="-4"/>
        </w:rPr>
        <w:t>recognised</w:t>
      </w:r>
      <w:proofErr w:type="spellEnd"/>
      <w:r w:rsidRPr="00751136">
        <w:rPr>
          <w:color w:val="auto"/>
          <w:spacing w:val="-4"/>
        </w:rPr>
        <w:t xml:space="preserve"> relevant professional qualification and </w:t>
      </w:r>
      <w:r w:rsidR="00D50AF0" w:rsidRPr="00751136">
        <w:rPr>
          <w:color w:val="auto"/>
          <w:spacing w:val="-4"/>
        </w:rPr>
        <w:t>has</w:t>
      </w:r>
      <w:r w:rsidRPr="00751136">
        <w:rPr>
          <w:color w:val="auto"/>
          <w:spacing w:val="-4"/>
        </w:rPr>
        <w:t xml:space="preserve"> recent </w:t>
      </w:r>
      <w:r w:rsidRPr="00751136">
        <w:rPr>
          <w:color w:val="auto"/>
          <w:spacing w:val="-2"/>
        </w:rPr>
        <w:t>experience in the locations and segments of the investment properties valued. The Independent Valuer</w:t>
      </w:r>
      <w:r w:rsidRPr="00751136">
        <w:rPr>
          <w:color w:val="auto"/>
        </w:rPr>
        <w:t xml:space="preserve"> reports directly to the </w:t>
      </w:r>
      <w:r w:rsidR="000C1DE1" w:rsidRPr="00751136">
        <w:rPr>
          <w:color w:val="auto"/>
        </w:rPr>
        <w:t>REIT Manager</w:t>
      </w:r>
      <w:r w:rsidRPr="00751136">
        <w:rPr>
          <w:color w:val="auto"/>
        </w:rPr>
        <w:t xml:space="preserve">. For financial reporting purposes, the </w:t>
      </w:r>
      <w:r w:rsidR="000C1DE1" w:rsidRPr="00751136">
        <w:rPr>
          <w:color w:val="auto"/>
        </w:rPr>
        <w:t>REIT Manager</w:t>
      </w:r>
      <w:r w:rsidRPr="00751136">
        <w:rPr>
          <w:color w:val="auto"/>
        </w:rPr>
        <w:t xml:space="preserve"> reviews the valuations performed by the independent valuer. The </w:t>
      </w:r>
      <w:r w:rsidR="000C1DE1" w:rsidRPr="00751136">
        <w:rPr>
          <w:color w:val="auto"/>
        </w:rPr>
        <w:t>REIT Manager</w:t>
      </w:r>
      <w:r w:rsidRPr="00751136">
        <w:rPr>
          <w:color w:val="auto"/>
        </w:rPr>
        <w:t xml:space="preserve"> review valuation processes and results in each accounting period, in line with the </w:t>
      </w:r>
      <w:r w:rsidR="00D8276A" w:rsidRPr="00751136">
        <w:rPr>
          <w:color w:val="auto"/>
        </w:rPr>
        <w:t>Trust</w:t>
      </w:r>
      <w:r w:rsidRPr="00751136">
        <w:rPr>
          <w:color w:val="auto"/>
        </w:rPr>
        <w:t xml:space="preserve">’s reporting date. </w:t>
      </w:r>
    </w:p>
    <w:p w14:paraId="77762517" w14:textId="77777777" w:rsidR="00BE7AA3" w:rsidRPr="00917077" w:rsidRDefault="00BE7AA3" w:rsidP="0003043C">
      <w:pPr>
        <w:jc w:val="both"/>
        <w:rPr>
          <w:color w:val="auto"/>
          <w:spacing w:val="-7"/>
          <w:sz w:val="16"/>
          <w:szCs w:val="16"/>
        </w:rPr>
      </w:pPr>
    </w:p>
    <w:p w14:paraId="0C8446EA" w14:textId="6AC111FC" w:rsidR="001D3C52" w:rsidRPr="00751136" w:rsidRDefault="001D3C52" w:rsidP="0003043C">
      <w:pPr>
        <w:jc w:val="both"/>
        <w:rPr>
          <w:color w:val="auto"/>
        </w:rPr>
      </w:pPr>
      <w:r w:rsidRPr="00751136">
        <w:rPr>
          <w:color w:val="auto"/>
          <w:spacing w:val="-4"/>
        </w:rPr>
        <w:t>The valuation of the fair value of investment</w:t>
      </w:r>
      <w:r w:rsidR="003F703D" w:rsidRPr="00751136">
        <w:rPr>
          <w:color w:val="auto"/>
          <w:spacing w:val="-4"/>
        </w:rPr>
        <w:t>s</w:t>
      </w:r>
      <w:r w:rsidRPr="00751136">
        <w:rPr>
          <w:color w:val="auto"/>
          <w:spacing w:val="-4"/>
        </w:rPr>
        <w:t xml:space="preserve"> in properties is carried based on valuations by independent </w:t>
      </w:r>
      <w:r w:rsidRPr="00751136">
        <w:rPr>
          <w:color w:val="auto"/>
          <w:spacing w:val="-2"/>
        </w:rPr>
        <w:t>valuers using income approach method which is measured by discounted cash flow projections which</w:t>
      </w:r>
      <w:r w:rsidRPr="00751136">
        <w:rPr>
          <w:color w:val="auto"/>
          <w:spacing w:val="-4"/>
        </w:rPr>
        <w:t xml:space="preserve"> reflects rental income from current leases and assumptions about rental income from future leases in the light of current market conditions. The fair value also reflects any cash outflows that could be expected in respect of the property. The discount rate reflects current market </w:t>
      </w:r>
      <w:r w:rsidRPr="00751136">
        <w:rPr>
          <w:color w:val="auto"/>
        </w:rPr>
        <w:t xml:space="preserve">assessments of the time value of money and risk adjusted which is at the rate of </w:t>
      </w:r>
      <w:r w:rsidR="00010AFC" w:rsidRPr="00751136">
        <w:rPr>
          <w:color w:val="auto"/>
          <w:spacing w:val="-4"/>
        </w:rPr>
        <w:t>10.25</w:t>
      </w:r>
      <w:r w:rsidRPr="00751136">
        <w:rPr>
          <w:color w:val="auto"/>
        </w:rPr>
        <w:t xml:space="preserve">% </w:t>
      </w:r>
      <w:r w:rsidRPr="00751136">
        <w:rPr>
          <w:color w:val="auto"/>
          <w:spacing w:val="-2"/>
        </w:rPr>
        <w:t xml:space="preserve">per annum. The valuation is used significant unobservable inputs. The fair value of the investment </w:t>
      </w:r>
      <w:r w:rsidRPr="00751136">
        <w:rPr>
          <w:color w:val="auto"/>
        </w:rPr>
        <w:t xml:space="preserve">is within level </w:t>
      </w:r>
      <w:r w:rsidR="001659E8" w:rsidRPr="00751136">
        <w:rPr>
          <w:color w:val="auto"/>
          <w:lang w:val="en-GB"/>
        </w:rPr>
        <w:t>3</w:t>
      </w:r>
      <w:r w:rsidRPr="00751136">
        <w:rPr>
          <w:color w:val="auto"/>
        </w:rPr>
        <w:t xml:space="preserve"> of the fair value hierarchy.</w:t>
      </w:r>
    </w:p>
    <w:p w14:paraId="49A13D59" w14:textId="77777777" w:rsidR="005137AA" w:rsidRPr="00917077" w:rsidRDefault="005137AA" w:rsidP="0003043C">
      <w:pPr>
        <w:jc w:val="both"/>
        <w:rPr>
          <w:color w:val="auto"/>
          <w:spacing w:val="-7"/>
          <w:sz w:val="16"/>
          <w:szCs w:val="16"/>
        </w:rPr>
      </w:pPr>
    </w:p>
    <w:p w14:paraId="49BB5DF7" w14:textId="1CE16A63" w:rsidR="00A76BE5" w:rsidRPr="00751136" w:rsidRDefault="00AD2FAA" w:rsidP="0003043C">
      <w:pPr>
        <w:jc w:val="both"/>
        <w:rPr>
          <w:color w:val="auto"/>
          <w:spacing w:val="-6"/>
        </w:rPr>
      </w:pPr>
      <w:r w:rsidRPr="00751136">
        <w:rPr>
          <w:color w:val="auto"/>
          <w:spacing w:val="-6"/>
        </w:rPr>
        <w:t>The fair value of investment</w:t>
      </w:r>
      <w:r w:rsidR="003F703D" w:rsidRPr="00751136">
        <w:rPr>
          <w:color w:val="auto"/>
          <w:spacing w:val="-6"/>
        </w:rPr>
        <w:t>s</w:t>
      </w:r>
      <w:r w:rsidRPr="00751136">
        <w:rPr>
          <w:color w:val="auto"/>
          <w:spacing w:val="-6"/>
        </w:rPr>
        <w:t xml:space="preserve"> in properties is added </w:t>
      </w:r>
      <w:proofErr w:type="gramStart"/>
      <w:r w:rsidRPr="00751136">
        <w:rPr>
          <w:color w:val="auto"/>
          <w:spacing w:val="-6"/>
        </w:rPr>
        <w:t>back</w:t>
      </w:r>
      <w:proofErr w:type="gramEnd"/>
      <w:r w:rsidRPr="00751136">
        <w:rPr>
          <w:color w:val="auto"/>
          <w:spacing w:val="-6"/>
        </w:rPr>
        <w:t xml:space="preserve"> any </w:t>
      </w:r>
      <w:proofErr w:type="spellStart"/>
      <w:r w:rsidRPr="00751136">
        <w:rPr>
          <w:color w:val="auto"/>
          <w:spacing w:val="-6"/>
        </w:rPr>
        <w:t>recognised</w:t>
      </w:r>
      <w:proofErr w:type="spellEnd"/>
      <w:r w:rsidRPr="00751136">
        <w:rPr>
          <w:color w:val="auto"/>
          <w:spacing w:val="-6"/>
        </w:rPr>
        <w:t xml:space="preserve"> lease liabili</w:t>
      </w:r>
      <w:r w:rsidR="00473D20" w:rsidRPr="00751136">
        <w:rPr>
          <w:color w:val="auto"/>
          <w:spacing w:val="-6"/>
        </w:rPr>
        <w:t>t</w:t>
      </w:r>
      <w:r w:rsidRPr="00751136">
        <w:rPr>
          <w:color w:val="auto"/>
          <w:spacing w:val="-6"/>
        </w:rPr>
        <w:t>y to arrive at the carrying amount of the investment property using the fair value model</w:t>
      </w:r>
      <w:r w:rsidR="002421E8" w:rsidRPr="00751136">
        <w:rPr>
          <w:color w:val="auto"/>
          <w:spacing w:val="-6"/>
        </w:rPr>
        <w:t xml:space="preserve"> in accordance with </w:t>
      </w:r>
      <w:r w:rsidR="002471E0" w:rsidRPr="00751136">
        <w:rPr>
          <w:color w:val="auto"/>
          <w:spacing w:val="-6"/>
        </w:rPr>
        <w:t>accounting guidelines</w:t>
      </w:r>
      <w:r w:rsidRPr="00751136">
        <w:rPr>
          <w:color w:val="auto"/>
          <w:spacing w:val="-6"/>
        </w:rPr>
        <w:t>.</w:t>
      </w:r>
    </w:p>
    <w:p w14:paraId="527A1826" w14:textId="77777777" w:rsidR="00F16294" w:rsidRPr="00917077" w:rsidRDefault="00F16294" w:rsidP="00917077">
      <w:pPr>
        <w:jc w:val="both"/>
        <w:rPr>
          <w:color w:val="auto"/>
          <w:spacing w:val="-7"/>
          <w:sz w:val="16"/>
          <w:szCs w:val="16"/>
        </w:rPr>
      </w:pPr>
    </w:p>
    <w:p w14:paraId="020440FE" w14:textId="77777777" w:rsidR="00F16294" w:rsidRPr="00917077" w:rsidRDefault="00F16294" w:rsidP="00917077">
      <w:pPr>
        <w:jc w:val="both"/>
        <w:rPr>
          <w:color w:val="auto"/>
          <w:spacing w:val="-7"/>
          <w:sz w:val="16"/>
          <w:szCs w:val="16"/>
        </w:rPr>
      </w:pPr>
    </w:p>
    <w:p w14:paraId="3E5CFD75" w14:textId="6A3A1D11" w:rsidR="002C759A" w:rsidRPr="00751136" w:rsidRDefault="002C759A" w:rsidP="0003043C">
      <w:pPr>
        <w:ind w:left="540" w:hanging="540"/>
        <w:rPr>
          <w:b/>
          <w:bCs/>
          <w:color w:val="auto"/>
        </w:rPr>
      </w:pPr>
      <w:r w:rsidRPr="00751136">
        <w:rPr>
          <w:b/>
          <w:bCs/>
          <w:color w:val="auto"/>
          <w:lang w:val="en-GB"/>
        </w:rPr>
        <w:t>17</w:t>
      </w:r>
      <w:r w:rsidRPr="00751136">
        <w:rPr>
          <w:b/>
          <w:bCs/>
          <w:color w:val="auto"/>
        </w:rPr>
        <w:tab/>
      </w:r>
      <w:proofErr w:type="spellStart"/>
      <w:r w:rsidRPr="00751136">
        <w:rPr>
          <w:b/>
          <w:bCs/>
          <w:color w:val="auto"/>
        </w:rPr>
        <w:t>Authorisation</w:t>
      </w:r>
      <w:proofErr w:type="spellEnd"/>
      <w:r w:rsidRPr="00751136">
        <w:rPr>
          <w:b/>
          <w:bCs/>
          <w:color w:val="auto"/>
        </w:rPr>
        <w:t xml:space="preserve"> of the financial statements</w:t>
      </w:r>
    </w:p>
    <w:p w14:paraId="10745144" w14:textId="77777777" w:rsidR="002C759A" w:rsidRPr="00917077" w:rsidRDefault="002C759A" w:rsidP="0003043C">
      <w:pPr>
        <w:jc w:val="both"/>
        <w:rPr>
          <w:color w:val="auto"/>
          <w:spacing w:val="-7"/>
          <w:sz w:val="16"/>
          <w:szCs w:val="16"/>
        </w:rPr>
      </w:pPr>
    </w:p>
    <w:p w14:paraId="13265A55" w14:textId="1361491B" w:rsidR="002C759A" w:rsidRPr="00751136" w:rsidRDefault="002C759A" w:rsidP="0003043C">
      <w:pPr>
        <w:pStyle w:val="BodyTextIndent"/>
        <w:ind w:left="0"/>
        <w:rPr>
          <w:color w:val="auto"/>
          <w:szCs w:val="20"/>
        </w:rPr>
      </w:pPr>
      <w:r w:rsidRPr="00751136">
        <w:rPr>
          <w:color w:val="auto"/>
          <w:spacing w:val="-4"/>
          <w:szCs w:val="20"/>
        </w:rPr>
        <w:t xml:space="preserve">The financial statements were </w:t>
      </w:r>
      <w:proofErr w:type="spellStart"/>
      <w:r w:rsidRPr="00751136">
        <w:rPr>
          <w:color w:val="auto"/>
          <w:spacing w:val="-4"/>
          <w:szCs w:val="20"/>
        </w:rPr>
        <w:t>authorised</w:t>
      </w:r>
      <w:proofErr w:type="spellEnd"/>
      <w:r w:rsidRPr="00751136">
        <w:rPr>
          <w:color w:val="auto"/>
          <w:spacing w:val="-4"/>
          <w:szCs w:val="20"/>
        </w:rPr>
        <w:t xml:space="preserve"> for issue by the </w:t>
      </w:r>
      <w:proofErr w:type="spellStart"/>
      <w:r w:rsidRPr="00751136">
        <w:rPr>
          <w:color w:val="auto"/>
          <w:spacing w:val="-4"/>
          <w:szCs w:val="20"/>
        </w:rPr>
        <w:t>authorised</w:t>
      </w:r>
      <w:proofErr w:type="spellEnd"/>
      <w:r w:rsidRPr="00751136">
        <w:rPr>
          <w:color w:val="auto"/>
          <w:spacing w:val="-4"/>
          <w:szCs w:val="20"/>
        </w:rPr>
        <w:t xml:space="preserve"> management of the REIT Manager</w:t>
      </w:r>
      <w:r w:rsidRPr="00751136">
        <w:rPr>
          <w:color w:val="auto"/>
          <w:szCs w:val="20"/>
        </w:rPr>
        <w:t xml:space="preserve"> on </w:t>
      </w:r>
      <w:r w:rsidR="005065DF" w:rsidRPr="00751136">
        <w:rPr>
          <w:color w:val="auto"/>
          <w:szCs w:val="20"/>
        </w:rPr>
        <w:t xml:space="preserve">25 </w:t>
      </w:r>
      <w:r w:rsidR="000F6326" w:rsidRPr="00751136">
        <w:rPr>
          <w:color w:val="auto"/>
          <w:szCs w:val="20"/>
        </w:rPr>
        <w:t>February</w:t>
      </w:r>
      <w:r w:rsidRPr="00751136">
        <w:rPr>
          <w:color w:val="auto"/>
          <w:szCs w:val="20"/>
        </w:rPr>
        <w:t xml:space="preserve"> </w:t>
      </w:r>
      <w:r w:rsidRPr="00751136">
        <w:rPr>
          <w:color w:val="auto"/>
          <w:szCs w:val="20"/>
          <w:lang w:val="en-GB"/>
        </w:rPr>
        <w:t>2026</w:t>
      </w:r>
      <w:r w:rsidRPr="00751136">
        <w:rPr>
          <w:color w:val="auto"/>
          <w:szCs w:val="20"/>
        </w:rPr>
        <w:t>.</w:t>
      </w:r>
    </w:p>
    <w:p w14:paraId="17033FB9" w14:textId="41643456" w:rsidR="002C759A" w:rsidRPr="00917077" w:rsidRDefault="002C759A" w:rsidP="00917077">
      <w:pPr>
        <w:jc w:val="both"/>
        <w:rPr>
          <w:color w:val="auto"/>
          <w:spacing w:val="-7"/>
          <w:sz w:val="16"/>
          <w:szCs w:val="16"/>
        </w:rPr>
      </w:pPr>
    </w:p>
    <w:p w14:paraId="551C6BB6" w14:textId="77777777" w:rsidR="002C759A" w:rsidRPr="00917077" w:rsidRDefault="002C759A" w:rsidP="00917077">
      <w:pPr>
        <w:jc w:val="both"/>
        <w:rPr>
          <w:color w:val="auto"/>
          <w:spacing w:val="-7"/>
          <w:sz w:val="16"/>
          <w:szCs w:val="16"/>
        </w:rPr>
      </w:pPr>
    </w:p>
    <w:p w14:paraId="0A61F172" w14:textId="7713FEA1" w:rsidR="000C761C" w:rsidRPr="00751136" w:rsidRDefault="000C761C" w:rsidP="0003043C">
      <w:pPr>
        <w:ind w:left="540" w:hanging="540"/>
        <w:jc w:val="both"/>
        <w:rPr>
          <w:b/>
          <w:bCs/>
          <w:color w:val="auto"/>
        </w:rPr>
      </w:pPr>
      <w:r w:rsidRPr="00751136">
        <w:rPr>
          <w:b/>
          <w:bCs/>
          <w:color w:val="auto"/>
          <w:lang w:val="en-GB"/>
        </w:rPr>
        <w:t>1</w:t>
      </w:r>
      <w:r w:rsidR="00D8276A" w:rsidRPr="00751136">
        <w:rPr>
          <w:b/>
          <w:bCs/>
          <w:color w:val="auto"/>
          <w:lang w:val="en-GB"/>
        </w:rPr>
        <w:t>8</w:t>
      </w:r>
      <w:r w:rsidRPr="00751136">
        <w:rPr>
          <w:b/>
          <w:bCs/>
          <w:color w:val="auto"/>
        </w:rPr>
        <w:tab/>
        <w:t xml:space="preserve">Event after the </w:t>
      </w:r>
      <w:r w:rsidR="00CB6271" w:rsidRPr="00751136">
        <w:rPr>
          <w:b/>
          <w:bCs/>
          <w:color w:val="auto"/>
        </w:rPr>
        <w:t>s</w:t>
      </w:r>
      <w:r w:rsidRPr="00751136">
        <w:rPr>
          <w:b/>
          <w:bCs/>
          <w:color w:val="auto"/>
        </w:rPr>
        <w:t xml:space="preserve">tatement of </w:t>
      </w:r>
      <w:r w:rsidR="00CB6271" w:rsidRPr="00751136">
        <w:rPr>
          <w:b/>
          <w:bCs/>
          <w:color w:val="auto"/>
        </w:rPr>
        <w:t>f</w:t>
      </w:r>
      <w:r w:rsidRPr="00751136">
        <w:rPr>
          <w:b/>
          <w:bCs/>
          <w:color w:val="auto"/>
        </w:rPr>
        <w:t xml:space="preserve">inancial </w:t>
      </w:r>
      <w:r w:rsidR="00CB6271" w:rsidRPr="00751136">
        <w:rPr>
          <w:b/>
          <w:bCs/>
          <w:color w:val="auto"/>
        </w:rPr>
        <w:t>p</w:t>
      </w:r>
      <w:r w:rsidRPr="00751136">
        <w:rPr>
          <w:b/>
          <w:bCs/>
          <w:color w:val="auto"/>
        </w:rPr>
        <w:t>osition date</w:t>
      </w:r>
    </w:p>
    <w:p w14:paraId="0C516457" w14:textId="6637E37D" w:rsidR="000C761C" w:rsidRPr="00917077" w:rsidRDefault="000C761C" w:rsidP="0003043C">
      <w:pPr>
        <w:jc w:val="both"/>
        <w:rPr>
          <w:color w:val="auto"/>
          <w:spacing w:val="-7"/>
          <w:sz w:val="16"/>
          <w:szCs w:val="16"/>
        </w:rPr>
      </w:pPr>
    </w:p>
    <w:p w14:paraId="5FDB975A" w14:textId="06F07B51" w:rsidR="0006692F" w:rsidRPr="00751136" w:rsidRDefault="0006692F" w:rsidP="0003043C">
      <w:pPr>
        <w:jc w:val="both"/>
        <w:rPr>
          <w:color w:val="auto"/>
          <w:spacing w:val="-4"/>
        </w:rPr>
      </w:pPr>
      <w:r w:rsidRPr="00142FDE">
        <w:rPr>
          <w:color w:val="auto"/>
          <w:spacing w:val="-6"/>
        </w:rPr>
        <w:t>At the meeting of the Real Estate Investment Committee held on</w:t>
      </w:r>
      <w:r w:rsidR="00E858C2" w:rsidRPr="00142FDE">
        <w:rPr>
          <w:color w:val="auto"/>
          <w:spacing w:val="-6"/>
          <w:cs/>
        </w:rPr>
        <w:t xml:space="preserve"> </w:t>
      </w:r>
      <w:r w:rsidR="00E858C2" w:rsidRPr="00142FDE">
        <w:rPr>
          <w:color w:val="auto"/>
          <w:spacing w:val="-6"/>
        </w:rPr>
        <w:t>25 February</w:t>
      </w:r>
      <w:r w:rsidR="00852C50" w:rsidRPr="00142FDE">
        <w:rPr>
          <w:color w:val="auto"/>
          <w:spacing w:val="-6"/>
        </w:rPr>
        <w:t xml:space="preserve"> 2026</w:t>
      </w:r>
      <w:r w:rsidRPr="00142FDE">
        <w:rPr>
          <w:color w:val="auto"/>
          <w:spacing w:val="-6"/>
        </w:rPr>
        <w:t xml:space="preserve">, </w:t>
      </w:r>
      <w:r w:rsidR="00870031" w:rsidRPr="00142FDE">
        <w:rPr>
          <w:color w:val="auto"/>
          <w:spacing w:val="-6"/>
        </w:rPr>
        <w:t>BBL</w:t>
      </w:r>
      <w:r w:rsidRPr="00142FDE">
        <w:rPr>
          <w:color w:val="auto"/>
          <w:spacing w:val="-6"/>
        </w:rPr>
        <w:t xml:space="preserve"> Asset Management</w:t>
      </w:r>
      <w:r w:rsidRPr="00751136">
        <w:rPr>
          <w:color w:val="auto"/>
          <w:spacing w:val="-4"/>
        </w:rPr>
        <w:t xml:space="preserve"> Company Limited, as the REIT </w:t>
      </w:r>
      <w:r w:rsidR="00870031" w:rsidRPr="00751136">
        <w:rPr>
          <w:color w:val="auto"/>
          <w:spacing w:val="-4"/>
        </w:rPr>
        <w:t>M</w:t>
      </w:r>
      <w:r w:rsidRPr="00751136">
        <w:rPr>
          <w:color w:val="auto"/>
          <w:spacing w:val="-4"/>
        </w:rPr>
        <w:t>anager, passed the following resolutions:</w:t>
      </w:r>
    </w:p>
    <w:p w14:paraId="064A30DD" w14:textId="77777777" w:rsidR="0006692F" w:rsidRPr="00917077" w:rsidRDefault="0006692F" w:rsidP="0003043C">
      <w:pPr>
        <w:jc w:val="both"/>
        <w:rPr>
          <w:color w:val="auto"/>
          <w:spacing w:val="-7"/>
          <w:sz w:val="16"/>
          <w:szCs w:val="16"/>
        </w:rPr>
      </w:pPr>
    </w:p>
    <w:p w14:paraId="6741479A" w14:textId="27A4AE69" w:rsidR="0006692F" w:rsidRPr="00142FDE" w:rsidRDefault="0006692F" w:rsidP="0003043C">
      <w:pPr>
        <w:tabs>
          <w:tab w:val="left" w:pos="540"/>
          <w:tab w:val="left" w:pos="900"/>
        </w:tabs>
        <w:ind w:left="540" w:hanging="540"/>
        <w:jc w:val="both"/>
        <w:rPr>
          <w:color w:val="auto"/>
        </w:rPr>
      </w:pPr>
      <w:r w:rsidRPr="00751136">
        <w:rPr>
          <w:color w:val="auto"/>
          <w:spacing w:val="-6"/>
        </w:rPr>
        <w:t>1)</w:t>
      </w:r>
      <w:r w:rsidR="00470227" w:rsidRPr="00751136">
        <w:rPr>
          <w:color w:val="auto"/>
          <w:spacing w:val="-6"/>
        </w:rPr>
        <w:tab/>
      </w:r>
      <w:r w:rsidRPr="00751136">
        <w:rPr>
          <w:color w:val="auto"/>
          <w:spacing w:val="-6"/>
        </w:rPr>
        <w:t xml:space="preserve">Approved the allocation of operating results for the period from </w:t>
      </w:r>
      <w:r w:rsidR="00970CC0" w:rsidRPr="00751136">
        <w:rPr>
          <w:color w:val="auto"/>
          <w:spacing w:val="-6"/>
          <w:szCs w:val="25"/>
        </w:rPr>
        <w:t>1 October</w:t>
      </w:r>
      <w:r w:rsidR="00852C50" w:rsidRPr="00751136">
        <w:rPr>
          <w:color w:val="auto"/>
        </w:rPr>
        <w:t xml:space="preserve"> </w:t>
      </w:r>
      <w:r w:rsidRPr="00751136">
        <w:rPr>
          <w:color w:val="auto"/>
          <w:spacing w:val="-6"/>
        </w:rPr>
        <w:t>202</w:t>
      </w:r>
      <w:r w:rsidR="00852C50" w:rsidRPr="00751136">
        <w:rPr>
          <w:color w:val="auto"/>
          <w:spacing w:val="-6"/>
        </w:rPr>
        <w:t>5</w:t>
      </w:r>
      <w:r w:rsidRPr="00751136">
        <w:rPr>
          <w:color w:val="auto"/>
          <w:spacing w:val="-6"/>
        </w:rPr>
        <w:t xml:space="preserve"> to </w:t>
      </w:r>
      <w:r w:rsidR="00970CC0" w:rsidRPr="00751136">
        <w:rPr>
          <w:color w:val="auto"/>
          <w:spacing w:val="-6"/>
        </w:rPr>
        <w:t>31 December</w:t>
      </w:r>
      <w:r w:rsidR="00852C50" w:rsidRPr="00751136">
        <w:rPr>
          <w:color w:val="auto"/>
        </w:rPr>
        <w:t xml:space="preserve"> </w:t>
      </w:r>
      <w:r w:rsidRPr="00751136">
        <w:rPr>
          <w:color w:val="auto"/>
          <w:spacing w:val="-6"/>
        </w:rPr>
        <w:t>202</w:t>
      </w:r>
      <w:r w:rsidR="00852C50" w:rsidRPr="00751136">
        <w:rPr>
          <w:color w:val="auto"/>
          <w:spacing w:val="-6"/>
        </w:rPr>
        <w:t>5</w:t>
      </w:r>
      <w:r w:rsidR="002D0B2A" w:rsidRPr="00751136">
        <w:rPr>
          <w:color w:val="auto"/>
          <w:spacing w:val="-6"/>
          <w:cs/>
        </w:rPr>
        <w:t xml:space="preserve"> </w:t>
      </w:r>
      <w:r w:rsidR="002D0B2A" w:rsidRPr="00142FDE">
        <w:rPr>
          <w:color w:val="auto"/>
        </w:rPr>
        <w:t>and retained earnings</w:t>
      </w:r>
      <w:r w:rsidRPr="00142FDE">
        <w:rPr>
          <w:color w:val="auto"/>
        </w:rPr>
        <w:t xml:space="preserve">, as a benefit distribution at a rate of Baht </w:t>
      </w:r>
      <w:r w:rsidR="00970CC0" w:rsidRPr="00142FDE">
        <w:rPr>
          <w:color w:val="auto"/>
        </w:rPr>
        <w:t>0.122869</w:t>
      </w:r>
      <w:r w:rsidR="00852C50" w:rsidRPr="00142FDE">
        <w:rPr>
          <w:color w:val="auto"/>
        </w:rPr>
        <w:t xml:space="preserve"> </w:t>
      </w:r>
      <w:r w:rsidRPr="00142FDE">
        <w:rPr>
          <w:color w:val="auto"/>
        </w:rPr>
        <w:t xml:space="preserve">per unit, totaling Baht </w:t>
      </w:r>
      <w:r w:rsidR="00970CC0" w:rsidRPr="00142FDE">
        <w:rPr>
          <w:color w:val="auto"/>
        </w:rPr>
        <w:t>65.07</w:t>
      </w:r>
      <w:r w:rsidR="00033E51" w:rsidRPr="00142FDE">
        <w:rPr>
          <w:color w:val="auto"/>
        </w:rPr>
        <w:t xml:space="preserve"> million</w:t>
      </w:r>
      <w:r w:rsidRPr="00142FDE">
        <w:rPr>
          <w:color w:val="auto"/>
        </w:rPr>
        <w:t xml:space="preserve">. The </w:t>
      </w:r>
      <w:r w:rsidR="00870031" w:rsidRPr="00142FDE">
        <w:rPr>
          <w:color w:val="auto"/>
        </w:rPr>
        <w:t>dividend payment</w:t>
      </w:r>
      <w:r w:rsidRPr="00142FDE">
        <w:rPr>
          <w:color w:val="auto"/>
        </w:rPr>
        <w:t xml:space="preserve"> is scheduled to be paid to trust unitholders in </w:t>
      </w:r>
      <w:r w:rsidR="00970CC0" w:rsidRPr="00142FDE">
        <w:rPr>
          <w:color w:val="auto"/>
        </w:rPr>
        <w:t>March</w:t>
      </w:r>
      <w:r w:rsidRPr="00142FDE">
        <w:rPr>
          <w:color w:val="auto"/>
        </w:rPr>
        <w:t xml:space="preserve"> 202</w:t>
      </w:r>
      <w:r w:rsidR="00852C50" w:rsidRPr="00142FDE">
        <w:rPr>
          <w:color w:val="auto"/>
        </w:rPr>
        <w:t>6</w:t>
      </w:r>
      <w:r w:rsidRPr="00142FDE">
        <w:rPr>
          <w:color w:val="auto"/>
        </w:rPr>
        <w:t>.</w:t>
      </w:r>
    </w:p>
    <w:p w14:paraId="4E64DD6C" w14:textId="77777777" w:rsidR="0006692F" w:rsidRPr="00917077" w:rsidRDefault="0006692F" w:rsidP="00917077">
      <w:pPr>
        <w:jc w:val="both"/>
        <w:rPr>
          <w:color w:val="auto"/>
          <w:spacing w:val="-7"/>
          <w:sz w:val="16"/>
          <w:szCs w:val="16"/>
        </w:rPr>
      </w:pPr>
    </w:p>
    <w:p w14:paraId="0BF9695B" w14:textId="2C9D45C5" w:rsidR="006E7553" w:rsidRPr="00751136" w:rsidRDefault="0006692F" w:rsidP="00033E51">
      <w:pPr>
        <w:tabs>
          <w:tab w:val="left" w:pos="540"/>
          <w:tab w:val="left" w:pos="900"/>
        </w:tabs>
        <w:ind w:left="540" w:hanging="540"/>
        <w:jc w:val="both"/>
        <w:rPr>
          <w:color w:val="auto"/>
          <w:spacing w:val="-6"/>
        </w:rPr>
      </w:pPr>
      <w:r w:rsidRPr="00751136">
        <w:rPr>
          <w:color w:val="auto"/>
          <w:spacing w:val="-6"/>
        </w:rPr>
        <w:t>2)</w:t>
      </w:r>
      <w:r w:rsidR="00470227" w:rsidRPr="00751136">
        <w:rPr>
          <w:color w:val="auto"/>
          <w:spacing w:val="-6"/>
        </w:rPr>
        <w:tab/>
      </w:r>
      <w:r w:rsidRPr="00751136">
        <w:rPr>
          <w:color w:val="auto"/>
          <w:spacing w:val="-6"/>
        </w:rPr>
        <w:t xml:space="preserve">Approved the reduction of the paid-up capital of the Trust by decreasing the value of the Trust units at a rate of Baht </w:t>
      </w:r>
      <w:r w:rsidR="00970CC0" w:rsidRPr="00751136">
        <w:rPr>
          <w:color w:val="auto"/>
          <w:spacing w:val="-6"/>
        </w:rPr>
        <w:t>0.147</w:t>
      </w:r>
      <w:r w:rsidR="006906A9" w:rsidRPr="00751136">
        <w:rPr>
          <w:color w:val="auto"/>
          <w:spacing w:val="-6"/>
        </w:rPr>
        <w:t>1</w:t>
      </w:r>
      <w:r w:rsidR="009F6F61" w:rsidRPr="00751136">
        <w:rPr>
          <w:color w:val="auto"/>
          <w:spacing w:val="-6"/>
          <w:szCs w:val="25"/>
        </w:rPr>
        <w:t>00</w:t>
      </w:r>
      <w:r w:rsidR="00852C50" w:rsidRPr="00751136">
        <w:rPr>
          <w:color w:val="auto"/>
        </w:rPr>
        <w:t xml:space="preserve"> </w:t>
      </w:r>
      <w:r w:rsidRPr="00751136">
        <w:rPr>
          <w:color w:val="auto"/>
          <w:spacing w:val="-6"/>
        </w:rPr>
        <w:t xml:space="preserve">per unit, amounting to Baht </w:t>
      </w:r>
      <w:r w:rsidR="00970CC0" w:rsidRPr="00751136">
        <w:rPr>
          <w:color w:val="auto"/>
          <w:spacing w:val="-6"/>
        </w:rPr>
        <w:t>77.9</w:t>
      </w:r>
      <w:r w:rsidR="006906A9" w:rsidRPr="00751136">
        <w:rPr>
          <w:color w:val="auto"/>
          <w:spacing w:val="-6"/>
        </w:rPr>
        <w:t>0</w:t>
      </w:r>
      <w:r w:rsidR="00033E51" w:rsidRPr="00751136">
        <w:rPr>
          <w:color w:val="auto"/>
          <w:spacing w:val="-6"/>
        </w:rPr>
        <w:t xml:space="preserve"> million</w:t>
      </w:r>
      <w:r w:rsidRPr="00751136">
        <w:rPr>
          <w:color w:val="auto"/>
          <w:spacing w:val="-6"/>
        </w:rPr>
        <w:t xml:space="preserve">. The capital reduction amount is scheduled to be returned to trust unitholders in </w:t>
      </w:r>
      <w:r w:rsidR="00970CC0" w:rsidRPr="00751136">
        <w:rPr>
          <w:color w:val="auto"/>
        </w:rPr>
        <w:t>March</w:t>
      </w:r>
      <w:r w:rsidRPr="00751136">
        <w:rPr>
          <w:color w:val="auto"/>
          <w:spacing w:val="-6"/>
        </w:rPr>
        <w:t xml:space="preserve"> 202</w:t>
      </w:r>
      <w:r w:rsidR="00852C50" w:rsidRPr="00751136">
        <w:rPr>
          <w:color w:val="auto"/>
          <w:spacing w:val="-6"/>
        </w:rPr>
        <w:t>6</w:t>
      </w:r>
      <w:r w:rsidRPr="00751136">
        <w:rPr>
          <w:color w:val="auto"/>
          <w:spacing w:val="-6"/>
        </w:rPr>
        <w:t xml:space="preserve">. This capital reduction is in accordance with the Trust </w:t>
      </w:r>
      <w:r w:rsidR="00870031" w:rsidRPr="00751136">
        <w:rPr>
          <w:color w:val="auto"/>
          <w:spacing w:val="-6"/>
        </w:rPr>
        <w:t>Deed</w:t>
      </w:r>
      <w:r w:rsidRPr="00751136">
        <w:rPr>
          <w:color w:val="auto"/>
          <w:spacing w:val="-6"/>
        </w:rPr>
        <w:t>.</w:t>
      </w:r>
    </w:p>
    <w:sectPr w:rsidR="006E7553" w:rsidRPr="00751136" w:rsidSect="00C670B7">
      <w:headerReference w:type="default" r:id="rId8"/>
      <w:footerReference w:type="default" r:id="rId9"/>
      <w:pgSz w:w="11906" w:h="16838" w:code="9"/>
      <w:pgMar w:top="1440" w:right="1152" w:bottom="720" w:left="1728" w:header="706" w:footer="706" w:gutter="0"/>
      <w:pgNumType w:start="1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D45DA" w14:textId="77777777" w:rsidR="00E14005" w:rsidRDefault="00E14005">
      <w:r>
        <w:separator/>
      </w:r>
    </w:p>
  </w:endnote>
  <w:endnote w:type="continuationSeparator" w:id="0">
    <w:p w14:paraId="09877F64" w14:textId="77777777" w:rsidR="00E14005" w:rsidRDefault="00E14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2000068F" w:usb1="4000000A"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41FB3" w14:textId="77777777" w:rsidR="005F7000" w:rsidRPr="00C56755" w:rsidRDefault="005F7000" w:rsidP="006D3ABB">
    <w:pPr>
      <w:pStyle w:val="Footer"/>
      <w:pBdr>
        <w:top w:val="single" w:sz="8" w:space="1" w:color="auto"/>
      </w:pBdr>
      <w:jc w:val="right"/>
      <w:rPr>
        <w:lang w:val="en-GB"/>
      </w:rPr>
    </w:pPr>
    <w:r w:rsidRPr="00C56755">
      <w:rPr>
        <w:rStyle w:val="PageNumber"/>
      </w:rPr>
      <w:fldChar w:fldCharType="begin"/>
    </w:r>
    <w:r w:rsidRPr="00C56755">
      <w:rPr>
        <w:rStyle w:val="PageNumber"/>
      </w:rPr>
      <w:instrText xml:space="preserve"> PAGE </w:instrText>
    </w:r>
    <w:r w:rsidRPr="00C56755">
      <w:rPr>
        <w:rStyle w:val="PageNumber"/>
      </w:rPr>
      <w:fldChar w:fldCharType="separate"/>
    </w:r>
    <w:r>
      <w:rPr>
        <w:rStyle w:val="PageNumber"/>
        <w:noProof/>
      </w:rPr>
      <w:t>17</w:t>
    </w:r>
    <w:r w:rsidRPr="00C5675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BDC46" w14:textId="77777777" w:rsidR="00E14005" w:rsidRDefault="00E14005">
      <w:r>
        <w:separator/>
      </w:r>
    </w:p>
  </w:footnote>
  <w:footnote w:type="continuationSeparator" w:id="0">
    <w:p w14:paraId="6C850770" w14:textId="77777777" w:rsidR="00E14005" w:rsidRDefault="00E14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4BC0" w14:textId="4A0B3438" w:rsidR="005F7000" w:rsidRPr="00345C65" w:rsidRDefault="00D71107" w:rsidP="009A7A3F">
    <w:pPr>
      <w:pStyle w:val="Header"/>
      <w:pBdr>
        <w:bottom w:val="single" w:sz="8" w:space="1" w:color="auto"/>
      </w:pBdr>
      <w:rPr>
        <w:b/>
        <w:bCs/>
        <w:color w:val="auto"/>
      </w:rPr>
    </w:pPr>
    <w:r>
      <w:rPr>
        <w:b/>
        <w:bCs/>
        <w:color w:val="auto"/>
      </w:rPr>
      <w:t>Future City Leasehold Real Estate Investment Trust</w:t>
    </w:r>
  </w:p>
  <w:p w14:paraId="01B06063" w14:textId="77777777" w:rsidR="005F7000" w:rsidRPr="007307F4" w:rsidRDefault="005F7000" w:rsidP="00716EDF">
    <w:pPr>
      <w:pStyle w:val="Header"/>
      <w:pBdr>
        <w:bottom w:val="single" w:sz="8" w:space="1" w:color="auto"/>
      </w:pBdr>
      <w:rPr>
        <w:b/>
        <w:bCs/>
      </w:rPr>
    </w:pPr>
    <w:r w:rsidRPr="007307F4">
      <w:rPr>
        <w:b/>
        <w:bCs/>
      </w:rPr>
      <w:t xml:space="preserve">Notes to the Financial Statements </w:t>
    </w:r>
  </w:p>
  <w:p w14:paraId="666E6CE3" w14:textId="43DF5E31" w:rsidR="005F7000" w:rsidRPr="007307F4" w:rsidRDefault="00CA1500" w:rsidP="00716EDF">
    <w:pPr>
      <w:pStyle w:val="Header"/>
      <w:pBdr>
        <w:bottom w:val="single" w:sz="8" w:space="1" w:color="auto"/>
      </w:pBdr>
      <w:tabs>
        <w:tab w:val="clear" w:pos="4153"/>
        <w:tab w:val="clear" w:pos="8306"/>
        <w:tab w:val="center" w:pos="4513"/>
      </w:tabs>
      <w:rPr>
        <w:b/>
        <w:bCs/>
      </w:rPr>
    </w:pPr>
    <w:r w:rsidRPr="00CA1500">
      <w:rPr>
        <w:b/>
        <w:bCs/>
      </w:rPr>
      <w:t xml:space="preserve">For the </w:t>
    </w:r>
    <w:r w:rsidR="009F10C8">
      <w:rPr>
        <w:b/>
        <w:bCs/>
      </w:rPr>
      <w:t xml:space="preserve">year ended </w:t>
    </w:r>
    <w:r w:rsidR="005F7000" w:rsidRPr="007307F4">
      <w:rPr>
        <w:b/>
        <w:bCs/>
      </w:rPr>
      <w:t xml:space="preserve">31 December </w:t>
    </w:r>
    <w:r w:rsidR="005F7000" w:rsidRPr="00802C0E">
      <w:rPr>
        <w:b/>
        <w:bCs/>
        <w:lang w:val="en-GB"/>
      </w:rPr>
      <w:t>20</w:t>
    </w:r>
    <w:r w:rsidR="005F7000">
      <w:rPr>
        <w:b/>
        <w:bCs/>
        <w:lang w:val="en-GB"/>
      </w:rPr>
      <w:t>2</w:t>
    </w:r>
    <w:r w:rsidR="009F10C8">
      <w:rPr>
        <w:b/>
        <w:bCs/>
        <w:lang w:val="en-GB"/>
      </w:rPr>
      <w:t>5</w:t>
    </w:r>
  </w:p>
  <w:p w14:paraId="5C3C3E84" w14:textId="77777777" w:rsidR="005F7000" w:rsidRPr="00716EDF" w:rsidRDefault="005F7000" w:rsidP="00541B86">
    <w:pPr>
      <w:pStyle w:val="Header"/>
      <w:rPr>
        <w:b/>
        <w:bCs/>
        <w:lang w:val="en-GB"/>
      </w:rPr>
    </w:pPr>
  </w:p>
  <w:p w14:paraId="0E374398" w14:textId="77777777" w:rsidR="005F7000" w:rsidRPr="00BE6C5E" w:rsidRDefault="005F7000" w:rsidP="00541B86">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3FF6"/>
    <w:multiLevelType w:val="hybridMultilevel"/>
    <w:tmpl w:val="FE1067A0"/>
    <w:lvl w:ilvl="0" w:tplc="0809000F">
      <w:start w:val="1"/>
      <w:numFmt w:val="decimal"/>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C018BE"/>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 w15:restartNumberingAfterBreak="0">
    <w:nsid w:val="0B711690"/>
    <w:multiLevelType w:val="singleLevel"/>
    <w:tmpl w:val="041E0017"/>
    <w:lvl w:ilvl="0">
      <w:start w:val="1"/>
      <w:numFmt w:val="lowerLetter"/>
      <w:lvlText w:val="%1)"/>
      <w:lvlJc w:val="left"/>
      <w:pPr>
        <w:tabs>
          <w:tab w:val="num" w:pos="360"/>
        </w:tabs>
        <w:ind w:left="360" w:hanging="360"/>
      </w:pPr>
      <w:rPr>
        <w:rFonts w:hint="default"/>
        <w:cs w:val="0"/>
        <w:lang w:bidi="th-TH"/>
      </w:rPr>
    </w:lvl>
  </w:abstractNum>
  <w:abstractNum w:abstractNumId="3" w15:restartNumberingAfterBreak="0">
    <w:nsid w:val="11FE7F55"/>
    <w:multiLevelType w:val="hybridMultilevel"/>
    <w:tmpl w:val="D43A7068"/>
    <w:lvl w:ilvl="0" w:tplc="0FE6559C">
      <w:start w:val="1"/>
      <w:numFmt w:val="lowerRoman"/>
      <w:lvlText w:val="(%1)"/>
      <w:lvlJc w:val="left"/>
      <w:pPr>
        <w:ind w:left="1260" w:hanging="720"/>
      </w:pPr>
      <w:rPr>
        <w:rFonts w:hint="default"/>
        <w:sz w:val="18"/>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4" w15:restartNumberingAfterBreak="0">
    <w:nsid w:val="1607333B"/>
    <w:multiLevelType w:val="hybridMultilevel"/>
    <w:tmpl w:val="A58EC340"/>
    <w:lvl w:ilvl="0" w:tplc="3E26CAE0">
      <w:start w:val="1"/>
      <w:numFmt w:val="decimal"/>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5" w15:restartNumberingAfterBreak="0">
    <w:nsid w:val="160F76C5"/>
    <w:multiLevelType w:val="hybridMultilevel"/>
    <w:tmpl w:val="D83E7B8C"/>
    <w:lvl w:ilvl="0" w:tplc="D7B018C0">
      <w:start w:val="2"/>
      <w:numFmt w:val="bullet"/>
      <w:lvlText w:val="-"/>
      <w:lvlJc w:val="left"/>
      <w:pPr>
        <w:ind w:left="1778" w:hanging="360"/>
      </w:pPr>
      <w:rPr>
        <w:rFonts w:ascii="Arial" w:eastAsia="Times New Roman" w:hAnsi="Arial" w:cs="Aria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16637E5A"/>
    <w:multiLevelType w:val="hybridMultilevel"/>
    <w:tmpl w:val="5E38262A"/>
    <w:lvl w:ilvl="0" w:tplc="FBE649C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1AD816E0"/>
    <w:multiLevelType w:val="hybridMultilevel"/>
    <w:tmpl w:val="8644803A"/>
    <w:lvl w:ilvl="0" w:tplc="C8E8FF0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D643006"/>
    <w:multiLevelType w:val="hybridMultilevel"/>
    <w:tmpl w:val="E4E4AB7A"/>
    <w:lvl w:ilvl="0" w:tplc="93E645EC">
      <w:start w:val="2"/>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EC5143E"/>
    <w:multiLevelType w:val="multilevel"/>
    <w:tmpl w:val="0D3049B0"/>
    <w:lvl w:ilvl="0">
      <w:start w:val="1"/>
      <w:numFmt w:val="decimal"/>
      <w:lvlText w:val="%1"/>
      <w:lvlJc w:val="left"/>
      <w:pPr>
        <w:ind w:left="682" w:hanging="540"/>
      </w:pPr>
      <w:rPr>
        <w:rFonts w:hint="default"/>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10"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23F8093B"/>
    <w:multiLevelType w:val="hybridMultilevel"/>
    <w:tmpl w:val="8332B08E"/>
    <w:lvl w:ilvl="0" w:tplc="87205998">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CE5182"/>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13" w15:restartNumberingAfterBreak="0">
    <w:nsid w:val="292A7673"/>
    <w:multiLevelType w:val="hybridMultilevel"/>
    <w:tmpl w:val="B35C6B36"/>
    <w:lvl w:ilvl="0" w:tplc="AE4ACE70">
      <w:start w:val="38"/>
      <w:numFmt w:val="bullet"/>
      <w:lvlText w:val="-"/>
      <w:lvlJc w:val="left"/>
      <w:pPr>
        <w:ind w:left="720" w:hanging="360"/>
      </w:pPr>
      <w:rPr>
        <w:rFonts w:ascii="Angsana New" w:eastAsia="Cordia New"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F163F"/>
    <w:multiLevelType w:val="hybridMultilevel"/>
    <w:tmpl w:val="6AC20530"/>
    <w:lvl w:ilvl="0" w:tplc="04090001">
      <w:start w:val="1"/>
      <w:numFmt w:val="bullet"/>
      <w:lvlText w:val=""/>
      <w:lvlJc w:val="left"/>
      <w:pPr>
        <w:tabs>
          <w:tab w:val="num" w:pos="720"/>
        </w:tabs>
        <w:ind w:left="720" w:hanging="360"/>
      </w:pPr>
      <w:rPr>
        <w:rFonts w:ascii="Symbol" w:hAnsi="Symbol" w:hint="default"/>
        <w:cs w:val="0"/>
        <w:lang w:bidi="th-TH"/>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D095D73"/>
    <w:multiLevelType w:val="hybridMultilevel"/>
    <w:tmpl w:val="B71E7AC4"/>
    <w:lvl w:ilvl="0" w:tplc="21005C82">
      <w:start w:val="1"/>
      <w:numFmt w:val="lowerLetter"/>
      <w:lvlText w:val="%1)"/>
      <w:lvlJc w:val="left"/>
      <w:pPr>
        <w:ind w:left="1675" w:hanging="540"/>
      </w:pPr>
      <w:rPr>
        <w:rFonts w:eastAsia="Times New Roman" w:hint="default"/>
        <w:b/>
        <w:bCs/>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6" w15:restartNumberingAfterBreak="0">
    <w:nsid w:val="2DD466A1"/>
    <w:multiLevelType w:val="hybridMultilevel"/>
    <w:tmpl w:val="ECDE7E16"/>
    <w:lvl w:ilvl="0" w:tplc="6FB86F64">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DF71F64"/>
    <w:multiLevelType w:val="hybridMultilevel"/>
    <w:tmpl w:val="CE9A6814"/>
    <w:lvl w:ilvl="0" w:tplc="08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8" w15:restartNumberingAfterBreak="0">
    <w:nsid w:val="3135050F"/>
    <w:multiLevelType w:val="hybridMultilevel"/>
    <w:tmpl w:val="8BAE1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51A23"/>
    <w:multiLevelType w:val="hybridMultilevel"/>
    <w:tmpl w:val="B9906F96"/>
    <w:lvl w:ilvl="0" w:tplc="F698AAE6">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1" w15:restartNumberingAfterBreak="0">
    <w:nsid w:val="3AEA6727"/>
    <w:multiLevelType w:val="hybridMultilevel"/>
    <w:tmpl w:val="3C643110"/>
    <w:lvl w:ilvl="0" w:tplc="08090011">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2" w15:restartNumberingAfterBreak="0">
    <w:nsid w:val="3BAF6009"/>
    <w:multiLevelType w:val="multilevel"/>
    <w:tmpl w:val="0D3049B0"/>
    <w:lvl w:ilvl="0">
      <w:start w:val="1"/>
      <w:numFmt w:val="decimal"/>
      <w:lvlText w:val="%1"/>
      <w:lvlJc w:val="left"/>
      <w:pPr>
        <w:ind w:left="540" w:hanging="540"/>
      </w:pPr>
      <w:rPr>
        <w:rFonts w:hint="default"/>
      </w:rPr>
    </w:lvl>
    <w:lvl w:ilvl="1">
      <w:start w:val="2"/>
      <w:numFmt w:val="decimal"/>
      <w:isLgl/>
      <w:lvlText w:val="%1.%2"/>
      <w:lvlJc w:val="left"/>
      <w:pPr>
        <w:ind w:left="898" w:hanging="540"/>
      </w:pPr>
      <w:rPr>
        <w:rFonts w:cs="Cordia New" w:hint="default"/>
      </w:rPr>
    </w:lvl>
    <w:lvl w:ilvl="2">
      <w:start w:val="2"/>
      <w:numFmt w:val="decimal"/>
      <w:isLgl/>
      <w:lvlText w:val="%1.%2.%3"/>
      <w:lvlJc w:val="left"/>
      <w:pPr>
        <w:ind w:left="1436" w:hanging="720"/>
      </w:pPr>
      <w:rPr>
        <w:rFonts w:cs="Cordia New" w:hint="default"/>
      </w:rPr>
    </w:lvl>
    <w:lvl w:ilvl="3">
      <w:start w:val="1"/>
      <w:numFmt w:val="decimal"/>
      <w:isLgl/>
      <w:lvlText w:val="%1.%2.%3.%4"/>
      <w:lvlJc w:val="left"/>
      <w:pPr>
        <w:ind w:left="1794" w:hanging="720"/>
      </w:pPr>
      <w:rPr>
        <w:rFonts w:cs="Cordia New" w:hint="default"/>
      </w:rPr>
    </w:lvl>
    <w:lvl w:ilvl="4">
      <w:start w:val="1"/>
      <w:numFmt w:val="decimal"/>
      <w:isLgl/>
      <w:lvlText w:val="%1.%2.%3.%4.%5"/>
      <w:lvlJc w:val="left"/>
      <w:pPr>
        <w:ind w:left="2512" w:hanging="1080"/>
      </w:pPr>
      <w:rPr>
        <w:rFonts w:cs="Cordia New" w:hint="default"/>
      </w:rPr>
    </w:lvl>
    <w:lvl w:ilvl="5">
      <w:start w:val="1"/>
      <w:numFmt w:val="decimal"/>
      <w:isLgl/>
      <w:lvlText w:val="%1.%2.%3.%4.%5.%6"/>
      <w:lvlJc w:val="left"/>
      <w:pPr>
        <w:ind w:left="2870" w:hanging="1080"/>
      </w:pPr>
      <w:rPr>
        <w:rFonts w:cs="Cordia New" w:hint="default"/>
      </w:rPr>
    </w:lvl>
    <w:lvl w:ilvl="6">
      <w:start w:val="1"/>
      <w:numFmt w:val="decimal"/>
      <w:isLgl/>
      <w:lvlText w:val="%1.%2.%3.%4.%5.%6.%7"/>
      <w:lvlJc w:val="left"/>
      <w:pPr>
        <w:ind w:left="3588" w:hanging="1440"/>
      </w:pPr>
      <w:rPr>
        <w:rFonts w:cs="Cordia New" w:hint="default"/>
      </w:rPr>
    </w:lvl>
    <w:lvl w:ilvl="7">
      <w:start w:val="1"/>
      <w:numFmt w:val="decimal"/>
      <w:isLgl/>
      <w:lvlText w:val="%1.%2.%3.%4.%5.%6.%7.%8"/>
      <w:lvlJc w:val="left"/>
      <w:pPr>
        <w:ind w:left="3946" w:hanging="1440"/>
      </w:pPr>
      <w:rPr>
        <w:rFonts w:cs="Cordia New" w:hint="default"/>
      </w:rPr>
    </w:lvl>
    <w:lvl w:ilvl="8">
      <w:start w:val="1"/>
      <w:numFmt w:val="decimal"/>
      <w:isLgl/>
      <w:lvlText w:val="%1.%2.%3.%4.%5.%6.%7.%8.%9"/>
      <w:lvlJc w:val="left"/>
      <w:pPr>
        <w:ind w:left="4664" w:hanging="1800"/>
      </w:pPr>
      <w:rPr>
        <w:rFonts w:cs="Cordia New" w:hint="default"/>
      </w:rPr>
    </w:lvl>
  </w:abstractNum>
  <w:abstractNum w:abstractNumId="23" w15:restartNumberingAfterBreak="0">
    <w:nsid w:val="3E922BDA"/>
    <w:multiLevelType w:val="hybridMultilevel"/>
    <w:tmpl w:val="15303402"/>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995E47BC">
      <w:start w:val="38"/>
      <w:numFmt w:val="bullet"/>
      <w:lvlText w:val="-"/>
      <w:lvlJc w:val="left"/>
      <w:pPr>
        <w:ind w:left="3540" w:hanging="360"/>
      </w:pPr>
      <w:rPr>
        <w:rFonts w:ascii="Angsana New" w:eastAsia="Cordia New" w:hAnsi="Angsana New" w:cs="Angsana New" w:hint="default"/>
        <w:sz w:val="26"/>
        <w:szCs w:val="26"/>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4"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EC0D42"/>
    <w:multiLevelType w:val="multilevel"/>
    <w:tmpl w:val="84BA5228"/>
    <w:lvl w:ilvl="0">
      <w:start w:val="5"/>
      <w:numFmt w:val="decimal"/>
      <w:lvlText w:val="%1"/>
      <w:lvlJc w:val="left"/>
      <w:pPr>
        <w:ind w:left="360" w:hanging="360"/>
      </w:pPr>
      <w:rPr>
        <w:rFonts w:cs="Cordia New" w:hint="default"/>
        <w:b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26" w15:restartNumberingAfterBreak="0">
    <w:nsid w:val="4A542C0B"/>
    <w:multiLevelType w:val="hybridMultilevel"/>
    <w:tmpl w:val="013E285E"/>
    <w:lvl w:ilvl="0" w:tplc="372E4008">
      <w:start w:val="3"/>
      <w:numFmt w:val="decimal"/>
      <w:lvlText w:val="%1"/>
      <w:lvlJc w:val="left"/>
      <w:pPr>
        <w:ind w:left="720" w:hanging="360"/>
      </w:pPr>
      <w:rPr>
        <w:rFonts w:cs="Browallia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B374ADB"/>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4F065130"/>
    <w:multiLevelType w:val="hybridMultilevel"/>
    <w:tmpl w:val="AC54A7A2"/>
    <w:lvl w:ilvl="0" w:tplc="D90066DA">
      <w:start w:val="1"/>
      <w:numFmt w:val="lowerLetter"/>
      <w:lvlText w:val="%1)"/>
      <w:lvlJc w:val="left"/>
      <w:pPr>
        <w:ind w:left="1440" w:hanging="360"/>
      </w:pPr>
      <w:rPr>
        <w:rFonts w:cs="Aria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501170EF"/>
    <w:multiLevelType w:val="hybridMultilevel"/>
    <w:tmpl w:val="A0DEF48E"/>
    <w:lvl w:ilvl="0" w:tplc="48C41554">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0" w15:restartNumberingAfterBreak="0">
    <w:nsid w:val="50906137"/>
    <w:multiLevelType w:val="singleLevel"/>
    <w:tmpl w:val="89FE638C"/>
    <w:lvl w:ilvl="0">
      <w:start w:val="4"/>
      <w:numFmt w:val="bullet"/>
      <w:lvlText w:val="-"/>
      <w:lvlJc w:val="left"/>
      <w:pPr>
        <w:tabs>
          <w:tab w:val="num" w:pos="720"/>
        </w:tabs>
        <w:ind w:left="720" w:hanging="360"/>
      </w:pPr>
      <w:rPr>
        <w:rFonts w:hint="default"/>
        <w:cs w:val="0"/>
        <w:lang w:bidi="th-TH"/>
      </w:rPr>
    </w:lvl>
  </w:abstractNum>
  <w:abstractNum w:abstractNumId="31" w15:restartNumberingAfterBreak="0">
    <w:nsid w:val="52AD092E"/>
    <w:multiLevelType w:val="multilevel"/>
    <w:tmpl w:val="9AAE7E68"/>
    <w:lvl w:ilvl="0">
      <w:start w:val="1"/>
      <w:numFmt w:val="decimal"/>
      <w:lvlText w:val="%1"/>
      <w:lvlJc w:val="left"/>
      <w:pPr>
        <w:ind w:left="540" w:hanging="540"/>
      </w:pPr>
      <w:rPr>
        <w:rFonts w:hint="default"/>
        <w:b/>
        <w:bCs/>
      </w:rPr>
    </w:lvl>
    <w:lvl w:ilvl="1">
      <w:start w:val="2"/>
      <w:numFmt w:val="decimal"/>
      <w:isLgl/>
      <w:lvlText w:val="%1.%2"/>
      <w:lvlJc w:val="left"/>
      <w:pPr>
        <w:ind w:left="1258" w:hanging="540"/>
      </w:pPr>
      <w:rPr>
        <w:rFonts w:cs="Cordia New" w:hint="default"/>
      </w:rPr>
    </w:lvl>
    <w:lvl w:ilvl="2">
      <w:start w:val="2"/>
      <w:numFmt w:val="decimal"/>
      <w:isLgl/>
      <w:lvlText w:val="%1.%2.%3"/>
      <w:lvlJc w:val="left"/>
      <w:pPr>
        <w:ind w:left="1796" w:hanging="720"/>
      </w:pPr>
      <w:rPr>
        <w:rFonts w:cs="Cordia New" w:hint="default"/>
      </w:rPr>
    </w:lvl>
    <w:lvl w:ilvl="3">
      <w:start w:val="1"/>
      <w:numFmt w:val="decimal"/>
      <w:isLgl/>
      <w:lvlText w:val="%1.%2.%3.%4"/>
      <w:lvlJc w:val="left"/>
      <w:pPr>
        <w:ind w:left="2154" w:hanging="720"/>
      </w:pPr>
      <w:rPr>
        <w:rFonts w:cs="Cordia New" w:hint="default"/>
      </w:rPr>
    </w:lvl>
    <w:lvl w:ilvl="4">
      <w:start w:val="1"/>
      <w:numFmt w:val="decimal"/>
      <w:isLgl/>
      <w:lvlText w:val="%1.%2.%3.%4.%5"/>
      <w:lvlJc w:val="left"/>
      <w:pPr>
        <w:ind w:left="2872" w:hanging="1080"/>
      </w:pPr>
      <w:rPr>
        <w:rFonts w:cs="Cordia New" w:hint="default"/>
      </w:rPr>
    </w:lvl>
    <w:lvl w:ilvl="5">
      <w:start w:val="1"/>
      <w:numFmt w:val="decimal"/>
      <w:isLgl/>
      <w:lvlText w:val="%1.%2.%3.%4.%5.%6"/>
      <w:lvlJc w:val="left"/>
      <w:pPr>
        <w:ind w:left="3230" w:hanging="1080"/>
      </w:pPr>
      <w:rPr>
        <w:rFonts w:cs="Cordia New" w:hint="default"/>
      </w:rPr>
    </w:lvl>
    <w:lvl w:ilvl="6">
      <w:start w:val="1"/>
      <w:numFmt w:val="decimal"/>
      <w:isLgl/>
      <w:lvlText w:val="%1.%2.%3.%4.%5.%6.%7"/>
      <w:lvlJc w:val="left"/>
      <w:pPr>
        <w:ind w:left="3948" w:hanging="1440"/>
      </w:pPr>
      <w:rPr>
        <w:rFonts w:cs="Cordia New" w:hint="default"/>
      </w:rPr>
    </w:lvl>
    <w:lvl w:ilvl="7">
      <w:start w:val="1"/>
      <w:numFmt w:val="decimal"/>
      <w:isLgl/>
      <w:lvlText w:val="%1.%2.%3.%4.%5.%6.%7.%8"/>
      <w:lvlJc w:val="left"/>
      <w:pPr>
        <w:ind w:left="4306" w:hanging="1440"/>
      </w:pPr>
      <w:rPr>
        <w:rFonts w:cs="Cordia New" w:hint="default"/>
      </w:rPr>
    </w:lvl>
    <w:lvl w:ilvl="8">
      <w:start w:val="1"/>
      <w:numFmt w:val="decimal"/>
      <w:isLgl/>
      <w:lvlText w:val="%1.%2.%3.%4.%5.%6.%7.%8.%9"/>
      <w:lvlJc w:val="left"/>
      <w:pPr>
        <w:ind w:left="5024" w:hanging="1800"/>
      </w:pPr>
      <w:rPr>
        <w:rFonts w:cs="Cordia New" w:hint="default"/>
      </w:rPr>
    </w:lvl>
  </w:abstractNum>
  <w:abstractNum w:abstractNumId="32" w15:restartNumberingAfterBreak="0">
    <w:nsid w:val="54E355D5"/>
    <w:multiLevelType w:val="hybridMultilevel"/>
    <w:tmpl w:val="6B2C0432"/>
    <w:lvl w:ilvl="0" w:tplc="08090001">
      <w:start w:val="1"/>
      <w:numFmt w:val="bullet"/>
      <w:lvlText w:val=""/>
      <w:lvlJc w:val="left"/>
      <w:pPr>
        <w:ind w:left="900" w:hanging="360"/>
      </w:pPr>
      <w:rPr>
        <w:rFonts w:ascii="Symbol" w:hAnsi="Symbol" w:hint="default"/>
      </w:rPr>
    </w:lvl>
    <w:lvl w:ilvl="1" w:tplc="08090003">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3" w15:restartNumberingAfterBreak="0">
    <w:nsid w:val="5B7C7EFD"/>
    <w:multiLevelType w:val="hybridMultilevel"/>
    <w:tmpl w:val="3FE80B96"/>
    <w:lvl w:ilvl="0" w:tplc="CDC21258">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5BDC403A"/>
    <w:multiLevelType w:val="hybridMultilevel"/>
    <w:tmpl w:val="D0AE5B6E"/>
    <w:lvl w:ilvl="0" w:tplc="D6423698">
      <w:start w:val="5"/>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09B561B"/>
    <w:multiLevelType w:val="hybridMultilevel"/>
    <w:tmpl w:val="9C8A0B5C"/>
    <w:lvl w:ilvl="0" w:tplc="DC763A9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1413A7A"/>
    <w:multiLevelType w:val="hybridMultilevel"/>
    <w:tmpl w:val="2DA8FAF6"/>
    <w:lvl w:ilvl="0" w:tplc="936C32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4E44078"/>
    <w:multiLevelType w:val="hybridMultilevel"/>
    <w:tmpl w:val="748E0DB8"/>
    <w:lvl w:ilvl="0" w:tplc="97481FF6">
      <w:numFmt w:val="bullet"/>
      <w:lvlText w:val="●"/>
      <w:lvlJc w:val="left"/>
      <w:pPr>
        <w:ind w:left="1425" w:hanging="885"/>
      </w:pPr>
      <w:rPr>
        <w:rFonts w:ascii="Symbol" w:eastAsia="Times New Roman" w:hAnsi="Symbo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8" w15:restartNumberingAfterBreak="0">
    <w:nsid w:val="657A5882"/>
    <w:multiLevelType w:val="multilevel"/>
    <w:tmpl w:val="1584DF94"/>
    <w:lvl w:ilvl="0">
      <w:start w:val="5"/>
      <w:numFmt w:val="decimal"/>
      <w:lvlText w:val="%1"/>
      <w:lvlJc w:val="left"/>
      <w:pPr>
        <w:ind w:left="502" w:hanging="360"/>
      </w:pPr>
      <w:rPr>
        <w:rFonts w:cs="Cordia New" w:hint="default"/>
        <w:b/>
        <w:bCs w:val="0"/>
      </w:rPr>
    </w:lvl>
    <w:lvl w:ilvl="1">
      <w:start w:val="1"/>
      <w:numFmt w:val="decimal"/>
      <w:lvlText w:val="%1.%2"/>
      <w:lvlJc w:val="left"/>
      <w:pPr>
        <w:ind w:left="1069" w:hanging="360"/>
      </w:pPr>
      <w:rPr>
        <w:rFonts w:cs="Cordia New" w:hint="default"/>
        <w:b/>
        <w:bCs w:val="0"/>
      </w:rPr>
    </w:lvl>
    <w:lvl w:ilvl="2">
      <w:start w:val="1"/>
      <w:numFmt w:val="decimal"/>
      <w:lvlText w:val="%1.%2.%3"/>
      <w:lvlJc w:val="left"/>
      <w:pPr>
        <w:ind w:left="862" w:hanging="720"/>
      </w:pPr>
      <w:rPr>
        <w:rFonts w:cs="Cordia New" w:hint="default"/>
        <w:b w:val="0"/>
      </w:rPr>
    </w:lvl>
    <w:lvl w:ilvl="3">
      <w:start w:val="1"/>
      <w:numFmt w:val="decimal"/>
      <w:lvlText w:val="%1.%2.%3.%4"/>
      <w:lvlJc w:val="left"/>
      <w:pPr>
        <w:ind w:left="862" w:hanging="720"/>
      </w:pPr>
      <w:rPr>
        <w:rFonts w:cs="Cordia New" w:hint="default"/>
        <w:b w:val="0"/>
      </w:rPr>
    </w:lvl>
    <w:lvl w:ilvl="4">
      <w:start w:val="1"/>
      <w:numFmt w:val="decimal"/>
      <w:lvlText w:val="%1.%2.%3.%4.%5"/>
      <w:lvlJc w:val="left"/>
      <w:pPr>
        <w:ind w:left="1222" w:hanging="1080"/>
      </w:pPr>
      <w:rPr>
        <w:rFonts w:cs="Cordia New" w:hint="default"/>
        <w:b w:val="0"/>
      </w:rPr>
    </w:lvl>
    <w:lvl w:ilvl="5">
      <w:start w:val="1"/>
      <w:numFmt w:val="decimal"/>
      <w:lvlText w:val="%1.%2.%3.%4.%5.%6"/>
      <w:lvlJc w:val="left"/>
      <w:pPr>
        <w:ind w:left="1222" w:hanging="1080"/>
      </w:pPr>
      <w:rPr>
        <w:rFonts w:cs="Cordia New" w:hint="default"/>
        <w:b w:val="0"/>
      </w:rPr>
    </w:lvl>
    <w:lvl w:ilvl="6">
      <w:start w:val="1"/>
      <w:numFmt w:val="decimal"/>
      <w:lvlText w:val="%1.%2.%3.%4.%5.%6.%7"/>
      <w:lvlJc w:val="left"/>
      <w:pPr>
        <w:ind w:left="1582" w:hanging="1440"/>
      </w:pPr>
      <w:rPr>
        <w:rFonts w:cs="Cordia New" w:hint="default"/>
        <w:b w:val="0"/>
      </w:rPr>
    </w:lvl>
    <w:lvl w:ilvl="7">
      <w:start w:val="1"/>
      <w:numFmt w:val="decimal"/>
      <w:lvlText w:val="%1.%2.%3.%4.%5.%6.%7.%8"/>
      <w:lvlJc w:val="left"/>
      <w:pPr>
        <w:ind w:left="1582" w:hanging="1440"/>
      </w:pPr>
      <w:rPr>
        <w:rFonts w:cs="Cordia New" w:hint="default"/>
        <w:b w:val="0"/>
      </w:rPr>
    </w:lvl>
    <w:lvl w:ilvl="8">
      <w:start w:val="1"/>
      <w:numFmt w:val="decimal"/>
      <w:lvlText w:val="%1.%2.%3.%4.%5.%6.%7.%8.%9"/>
      <w:lvlJc w:val="left"/>
      <w:pPr>
        <w:ind w:left="1942" w:hanging="1800"/>
      </w:pPr>
      <w:rPr>
        <w:rFonts w:cs="Cordia New" w:hint="default"/>
        <w:b w:val="0"/>
      </w:rPr>
    </w:lvl>
  </w:abstractNum>
  <w:abstractNum w:abstractNumId="39" w15:restartNumberingAfterBreak="0">
    <w:nsid w:val="67131F25"/>
    <w:multiLevelType w:val="hybridMultilevel"/>
    <w:tmpl w:val="00B69FCA"/>
    <w:lvl w:ilvl="0" w:tplc="78FE0312">
      <w:start w:val="2"/>
      <w:numFmt w:val="bullet"/>
      <w:lvlText w:val="-"/>
      <w:lvlJc w:val="left"/>
      <w:pPr>
        <w:ind w:left="1976" w:hanging="360"/>
      </w:pPr>
      <w:rPr>
        <w:rFonts w:ascii="Arial" w:eastAsia="Times New Roman" w:hAnsi="Arial" w:cs="Arial" w:hint="default"/>
      </w:rPr>
    </w:lvl>
    <w:lvl w:ilvl="1" w:tplc="04090003" w:tentative="1">
      <w:start w:val="1"/>
      <w:numFmt w:val="bullet"/>
      <w:lvlText w:val="o"/>
      <w:lvlJc w:val="left"/>
      <w:pPr>
        <w:ind w:left="2696" w:hanging="360"/>
      </w:pPr>
      <w:rPr>
        <w:rFonts w:ascii="Courier New" w:hAnsi="Courier New" w:cs="Courier New" w:hint="default"/>
      </w:rPr>
    </w:lvl>
    <w:lvl w:ilvl="2" w:tplc="04090005" w:tentative="1">
      <w:start w:val="1"/>
      <w:numFmt w:val="bullet"/>
      <w:lvlText w:val=""/>
      <w:lvlJc w:val="left"/>
      <w:pPr>
        <w:ind w:left="3416" w:hanging="360"/>
      </w:pPr>
      <w:rPr>
        <w:rFonts w:ascii="Wingdings" w:hAnsi="Wingdings" w:hint="default"/>
      </w:rPr>
    </w:lvl>
    <w:lvl w:ilvl="3" w:tplc="04090001" w:tentative="1">
      <w:start w:val="1"/>
      <w:numFmt w:val="bullet"/>
      <w:lvlText w:val=""/>
      <w:lvlJc w:val="left"/>
      <w:pPr>
        <w:ind w:left="4136" w:hanging="360"/>
      </w:pPr>
      <w:rPr>
        <w:rFonts w:ascii="Symbol" w:hAnsi="Symbol" w:hint="default"/>
      </w:rPr>
    </w:lvl>
    <w:lvl w:ilvl="4" w:tplc="04090003" w:tentative="1">
      <w:start w:val="1"/>
      <w:numFmt w:val="bullet"/>
      <w:lvlText w:val="o"/>
      <w:lvlJc w:val="left"/>
      <w:pPr>
        <w:ind w:left="4856" w:hanging="360"/>
      </w:pPr>
      <w:rPr>
        <w:rFonts w:ascii="Courier New" w:hAnsi="Courier New" w:cs="Courier New" w:hint="default"/>
      </w:rPr>
    </w:lvl>
    <w:lvl w:ilvl="5" w:tplc="04090005" w:tentative="1">
      <w:start w:val="1"/>
      <w:numFmt w:val="bullet"/>
      <w:lvlText w:val=""/>
      <w:lvlJc w:val="left"/>
      <w:pPr>
        <w:ind w:left="5576" w:hanging="360"/>
      </w:pPr>
      <w:rPr>
        <w:rFonts w:ascii="Wingdings" w:hAnsi="Wingdings" w:hint="default"/>
      </w:rPr>
    </w:lvl>
    <w:lvl w:ilvl="6" w:tplc="04090001" w:tentative="1">
      <w:start w:val="1"/>
      <w:numFmt w:val="bullet"/>
      <w:lvlText w:val=""/>
      <w:lvlJc w:val="left"/>
      <w:pPr>
        <w:ind w:left="6296" w:hanging="360"/>
      </w:pPr>
      <w:rPr>
        <w:rFonts w:ascii="Symbol" w:hAnsi="Symbol" w:hint="default"/>
      </w:rPr>
    </w:lvl>
    <w:lvl w:ilvl="7" w:tplc="04090003" w:tentative="1">
      <w:start w:val="1"/>
      <w:numFmt w:val="bullet"/>
      <w:lvlText w:val="o"/>
      <w:lvlJc w:val="left"/>
      <w:pPr>
        <w:ind w:left="7016" w:hanging="360"/>
      </w:pPr>
      <w:rPr>
        <w:rFonts w:ascii="Courier New" w:hAnsi="Courier New" w:cs="Courier New" w:hint="default"/>
      </w:rPr>
    </w:lvl>
    <w:lvl w:ilvl="8" w:tplc="04090005" w:tentative="1">
      <w:start w:val="1"/>
      <w:numFmt w:val="bullet"/>
      <w:lvlText w:val=""/>
      <w:lvlJc w:val="left"/>
      <w:pPr>
        <w:ind w:left="7736" w:hanging="360"/>
      </w:pPr>
      <w:rPr>
        <w:rFonts w:ascii="Wingdings" w:hAnsi="Wingdings" w:hint="default"/>
      </w:rPr>
    </w:lvl>
  </w:abstractNum>
  <w:abstractNum w:abstractNumId="40" w15:restartNumberingAfterBreak="0">
    <w:nsid w:val="67545CAF"/>
    <w:multiLevelType w:val="hybridMultilevel"/>
    <w:tmpl w:val="CE08B3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0BC1D78"/>
    <w:multiLevelType w:val="multilevel"/>
    <w:tmpl w:val="1584DF94"/>
    <w:lvl w:ilvl="0">
      <w:start w:val="5"/>
      <w:numFmt w:val="decimal"/>
      <w:lvlText w:val="%1"/>
      <w:lvlJc w:val="left"/>
      <w:pPr>
        <w:ind w:left="360" w:hanging="360"/>
      </w:pPr>
      <w:rPr>
        <w:rFonts w:cs="Cordia New" w:hint="default"/>
        <w:b/>
        <w:bCs w:val="0"/>
      </w:rPr>
    </w:lvl>
    <w:lvl w:ilvl="1">
      <w:start w:val="1"/>
      <w:numFmt w:val="decimal"/>
      <w:lvlText w:val="%1.%2"/>
      <w:lvlJc w:val="left"/>
      <w:pPr>
        <w:ind w:left="927" w:hanging="360"/>
      </w:pPr>
      <w:rPr>
        <w:rFonts w:cs="Cordia New" w:hint="default"/>
        <w:b/>
        <w:bCs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2" w15:restartNumberingAfterBreak="0">
    <w:nsid w:val="715F0F6D"/>
    <w:multiLevelType w:val="singleLevel"/>
    <w:tmpl w:val="041E000F"/>
    <w:lvl w:ilvl="0">
      <w:start w:val="1"/>
      <w:numFmt w:val="decimal"/>
      <w:lvlText w:val="%1."/>
      <w:lvlJc w:val="left"/>
      <w:pPr>
        <w:tabs>
          <w:tab w:val="num" w:pos="360"/>
        </w:tabs>
        <w:ind w:left="360" w:hanging="360"/>
      </w:pPr>
      <w:rPr>
        <w:rFonts w:hint="default"/>
        <w:cs w:val="0"/>
        <w:lang w:bidi="th-TH"/>
      </w:rPr>
    </w:lvl>
  </w:abstractNum>
  <w:abstractNum w:abstractNumId="43" w15:restartNumberingAfterBreak="0">
    <w:nsid w:val="738C0D4B"/>
    <w:multiLevelType w:val="hybridMultilevel"/>
    <w:tmpl w:val="529C79E0"/>
    <w:lvl w:ilvl="0" w:tplc="CBA4DA04">
      <w:start w:val="2"/>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A9859E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46" w15:restartNumberingAfterBreak="0">
    <w:nsid w:val="7D1E315D"/>
    <w:multiLevelType w:val="multilevel"/>
    <w:tmpl w:val="3A42887E"/>
    <w:lvl w:ilvl="0">
      <w:start w:val="5"/>
      <w:numFmt w:val="decimal"/>
      <w:lvlText w:val="%1"/>
      <w:lvlJc w:val="left"/>
      <w:pPr>
        <w:ind w:left="360" w:hanging="360"/>
      </w:pPr>
      <w:rPr>
        <w:rFonts w:cs="Cordia New" w:hint="default"/>
        <w:b/>
        <w:bCs w:val="0"/>
      </w:rPr>
    </w:lvl>
    <w:lvl w:ilvl="1">
      <w:start w:val="1"/>
      <w:numFmt w:val="decimal"/>
      <w:lvlText w:val="%1.%2"/>
      <w:lvlJc w:val="left"/>
      <w:pPr>
        <w:ind w:left="360" w:hanging="360"/>
      </w:pPr>
      <w:rPr>
        <w:rFonts w:cs="Cordia New" w:hint="default"/>
        <w:b w:val="0"/>
      </w:rPr>
    </w:lvl>
    <w:lvl w:ilvl="2">
      <w:start w:val="1"/>
      <w:numFmt w:val="decimal"/>
      <w:lvlText w:val="%1.%2.%3"/>
      <w:lvlJc w:val="left"/>
      <w:pPr>
        <w:ind w:left="720" w:hanging="720"/>
      </w:pPr>
      <w:rPr>
        <w:rFonts w:cs="Cordia New" w:hint="default"/>
        <w:b w:val="0"/>
      </w:rPr>
    </w:lvl>
    <w:lvl w:ilvl="3">
      <w:start w:val="1"/>
      <w:numFmt w:val="decimal"/>
      <w:lvlText w:val="%1.%2.%3.%4"/>
      <w:lvlJc w:val="left"/>
      <w:pPr>
        <w:ind w:left="720" w:hanging="720"/>
      </w:pPr>
      <w:rPr>
        <w:rFonts w:cs="Cordia New" w:hint="default"/>
        <w:b w:val="0"/>
      </w:rPr>
    </w:lvl>
    <w:lvl w:ilvl="4">
      <w:start w:val="1"/>
      <w:numFmt w:val="decimal"/>
      <w:lvlText w:val="%1.%2.%3.%4.%5"/>
      <w:lvlJc w:val="left"/>
      <w:pPr>
        <w:ind w:left="1080" w:hanging="1080"/>
      </w:pPr>
      <w:rPr>
        <w:rFonts w:cs="Cordia New" w:hint="default"/>
        <w:b w:val="0"/>
      </w:rPr>
    </w:lvl>
    <w:lvl w:ilvl="5">
      <w:start w:val="1"/>
      <w:numFmt w:val="decimal"/>
      <w:lvlText w:val="%1.%2.%3.%4.%5.%6"/>
      <w:lvlJc w:val="left"/>
      <w:pPr>
        <w:ind w:left="1080" w:hanging="1080"/>
      </w:pPr>
      <w:rPr>
        <w:rFonts w:cs="Cordia New" w:hint="default"/>
        <w:b w:val="0"/>
      </w:rPr>
    </w:lvl>
    <w:lvl w:ilvl="6">
      <w:start w:val="1"/>
      <w:numFmt w:val="decimal"/>
      <w:lvlText w:val="%1.%2.%3.%4.%5.%6.%7"/>
      <w:lvlJc w:val="left"/>
      <w:pPr>
        <w:ind w:left="1440" w:hanging="1440"/>
      </w:pPr>
      <w:rPr>
        <w:rFonts w:cs="Cordia New" w:hint="default"/>
        <w:b w:val="0"/>
      </w:rPr>
    </w:lvl>
    <w:lvl w:ilvl="7">
      <w:start w:val="1"/>
      <w:numFmt w:val="decimal"/>
      <w:lvlText w:val="%1.%2.%3.%4.%5.%6.%7.%8"/>
      <w:lvlJc w:val="left"/>
      <w:pPr>
        <w:ind w:left="1440" w:hanging="1440"/>
      </w:pPr>
      <w:rPr>
        <w:rFonts w:cs="Cordia New" w:hint="default"/>
        <w:b w:val="0"/>
      </w:rPr>
    </w:lvl>
    <w:lvl w:ilvl="8">
      <w:start w:val="1"/>
      <w:numFmt w:val="decimal"/>
      <w:lvlText w:val="%1.%2.%3.%4.%5.%6.%7.%8.%9"/>
      <w:lvlJc w:val="left"/>
      <w:pPr>
        <w:ind w:left="1800" w:hanging="1800"/>
      </w:pPr>
      <w:rPr>
        <w:rFonts w:cs="Cordia New" w:hint="default"/>
        <w:b w:val="0"/>
      </w:rPr>
    </w:lvl>
  </w:abstractNum>
  <w:abstractNum w:abstractNumId="47" w15:restartNumberingAfterBreak="0">
    <w:nsid w:val="7EFD7270"/>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8" w15:restartNumberingAfterBreak="0">
    <w:nsid w:val="7F397841"/>
    <w:multiLevelType w:val="multilevel"/>
    <w:tmpl w:val="E1A889AA"/>
    <w:lvl w:ilvl="0">
      <w:start w:val="2"/>
      <w:numFmt w:val="decimal"/>
      <w:lvlText w:val="%1"/>
      <w:lvlJc w:val="left"/>
      <w:pPr>
        <w:ind w:left="435" w:hanging="435"/>
      </w:pPr>
      <w:rPr>
        <w:rFonts w:hint="default"/>
      </w:rPr>
    </w:lvl>
    <w:lvl w:ilvl="1">
      <w:start w:val="2"/>
      <w:numFmt w:val="decimal"/>
      <w:lvlText w:val="%1.%2"/>
      <w:lvlJc w:val="left"/>
      <w:pPr>
        <w:ind w:left="975" w:hanging="435"/>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16cid:durableId="270363222">
    <w:abstractNumId w:val="42"/>
  </w:num>
  <w:num w:numId="2" w16cid:durableId="1882134347">
    <w:abstractNumId w:val="2"/>
  </w:num>
  <w:num w:numId="3" w16cid:durableId="528572348">
    <w:abstractNumId w:val="30"/>
  </w:num>
  <w:num w:numId="4" w16cid:durableId="1764569709">
    <w:abstractNumId w:val="36"/>
  </w:num>
  <w:num w:numId="5" w16cid:durableId="1374964745">
    <w:abstractNumId w:val="6"/>
  </w:num>
  <w:num w:numId="6" w16cid:durableId="1079131233">
    <w:abstractNumId w:val="14"/>
  </w:num>
  <w:num w:numId="7" w16cid:durableId="78870431">
    <w:abstractNumId w:val="33"/>
  </w:num>
  <w:num w:numId="8" w16cid:durableId="1136993104">
    <w:abstractNumId w:val="43"/>
  </w:num>
  <w:num w:numId="9" w16cid:durableId="710232053">
    <w:abstractNumId w:val="35"/>
  </w:num>
  <w:num w:numId="10" w16cid:durableId="396124534">
    <w:abstractNumId w:val="7"/>
  </w:num>
  <w:num w:numId="11" w16cid:durableId="1909807844">
    <w:abstractNumId w:val="29"/>
  </w:num>
  <w:num w:numId="12" w16cid:durableId="1459180168">
    <w:abstractNumId w:val="45"/>
  </w:num>
  <w:num w:numId="13" w16cid:durableId="634334047">
    <w:abstractNumId w:val="17"/>
  </w:num>
  <w:num w:numId="14" w16cid:durableId="1941177755">
    <w:abstractNumId w:val="28"/>
  </w:num>
  <w:num w:numId="15" w16cid:durableId="472139681">
    <w:abstractNumId w:val="19"/>
  </w:num>
  <w:num w:numId="16" w16cid:durableId="1833139177">
    <w:abstractNumId w:val="13"/>
  </w:num>
  <w:num w:numId="17" w16cid:durableId="416751374">
    <w:abstractNumId w:val="8"/>
  </w:num>
  <w:num w:numId="18" w16cid:durableId="1876430489">
    <w:abstractNumId w:val="5"/>
  </w:num>
  <w:num w:numId="19" w16cid:durableId="430469244">
    <w:abstractNumId w:val="18"/>
  </w:num>
  <w:num w:numId="20" w16cid:durableId="827940185">
    <w:abstractNumId w:val="31"/>
  </w:num>
  <w:num w:numId="21" w16cid:durableId="1913542838">
    <w:abstractNumId w:val="39"/>
  </w:num>
  <w:num w:numId="22" w16cid:durableId="1533877560">
    <w:abstractNumId w:val="24"/>
  </w:num>
  <w:num w:numId="23" w16cid:durableId="869731600">
    <w:abstractNumId w:val="10"/>
  </w:num>
  <w:num w:numId="24" w16cid:durableId="1977174521">
    <w:abstractNumId w:val="20"/>
  </w:num>
  <w:num w:numId="25" w16cid:durableId="1126434893">
    <w:abstractNumId w:val="11"/>
  </w:num>
  <w:num w:numId="26" w16cid:durableId="1833642072">
    <w:abstractNumId w:val="23"/>
  </w:num>
  <w:num w:numId="27" w16cid:durableId="1703283338">
    <w:abstractNumId w:val="22"/>
  </w:num>
  <w:num w:numId="28" w16cid:durableId="1935749896">
    <w:abstractNumId w:val="47"/>
  </w:num>
  <w:num w:numId="29" w16cid:durableId="612565211">
    <w:abstractNumId w:val="27"/>
  </w:num>
  <w:num w:numId="30" w16cid:durableId="1329866680">
    <w:abstractNumId w:val="48"/>
  </w:num>
  <w:num w:numId="31" w16cid:durableId="1303120966">
    <w:abstractNumId w:val="3"/>
  </w:num>
  <w:num w:numId="32" w16cid:durableId="1397968279">
    <w:abstractNumId w:val="0"/>
  </w:num>
  <w:num w:numId="33" w16cid:durableId="1433238466">
    <w:abstractNumId w:val="40"/>
  </w:num>
  <w:num w:numId="34" w16cid:durableId="1172184402">
    <w:abstractNumId w:val="9"/>
  </w:num>
  <w:num w:numId="35" w16cid:durableId="142090445">
    <w:abstractNumId w:val="44"/>
  </w:num>
  <w:num w:numId="36" w16cid:durableId="234095090">
    <w:abstractNumId w:val="25"/>
  </w:num>
  <w:num w:numId="37" w16cid:durableId="962690175">
    <w:abstractNumId w:val="46"/>
  </w:num>
  <w:num w:numId="38" w16cid:durableId="1534225925">
    <w:abstractNumId w:val="41"/>
  </w:num>
  <w:num w:numId="39" w16cid:durableId="1057972079">
    <w:abstractNumId w:val="1"/>
  </w:num>
  <w:num w:numId="40" w16cid:durableId="274411054">
    <w:abstractNumId w:val="38"/>
  </w:num>
  <w:num w:numId="41" w16cid:durableId="1794593585">
    <w:abstractNumId w:val="12"/>
  </w:num>
  <w:num w:numId="42" w16cid:durableId="1617131116">
    <w:abstractNumId w:val="32"/>
  </w:num>
  <w:num w:numId="43" w16cid:durableId="1973247061">
    <w:abstractNumId w:val="16"/>
  </w:num>
  <w:num w:numId="44" w16cid:durableId="534733395">
    <w:abstractNumId w:val="34"/>
  </w:num>
  <w:num w:numId="45" w16cid:durableId="883057214">
    <w:abstractNumId w:val="21"/>
  </w:num>
  <w:num w:numId="46" w16cid:durableId="343628442">
    <w:abstractNumId w:val="26"/>
  </w:num>
  <w:num w:numId="47" w16cid:durableId="604575959">
    <w:abstractNumId w:val="4"/>
  </w:num>
  <w:num w:numId="48" w16cid:durableId="2052001214">
    <w:abstractNumId w:val="15"/>
  </w:num>
  <w:num w:numId="49" w16cid:durableId="92145322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59B"/>
    <w:rsid w:val="0000054F"/>
    <w:rsid w:val="000034E0"/>
    <w:rsid w:val="00005EB4"/>
    <w:rsid w:val="00006D8D"/>
    <w:rsid w:val="00010AFC"/>
    <w:rsid w:val="00011466"/>
    <w:rsid w:val="00011C82"/>
    <w:rsid w:val="00012896"/>
    <w:rsid w:val="0001386B"/>
    <w:rsid w:val="000157F7"/>
    <w:rsid w:val="00017354"/>
    <w:rsid w:val="00020088"/>
    <w:rsid w:val="00020712"/>
    <w:rsid w:val="000207FC"/>
    <w:rsid w:val="00020832"/>
    <w:rsid w:val="00020E8B"/>
    <w:rsid w:val="00021483"/>
    <w:rsid w:val="00022A15"/>
    <w:rsid w:val="000264A0"/>
    <w:rsid w:val="0002662F"/>
    <w:rsid w:val="00026AA1"/>
    <w:rsid w:val="000270F0"/>
    <w:rsid w:val="0003043C"/>
    <w:rsid w:val="00030B05"/>
    <w:rsid w:val="00030B2B"/>
    <w:rsid w:val="000335C8"/>
    <w:rsid w:val="00033E51"/>
    <w:rsid w:val="0003485F"/>
    <w:rsid w:val="00036132"/>
    <w:rsid w:val="000368AA"/>
    <w:rsid w:val="00037DF2"/>
    <w:rsid w:val="00040322"/>
    <w:rsid w:val="0004091F"/>
    <w:rsid w:val="00040960"/>
    <w:rsid w:val="00041230"/>
    <w:rsid w:val="00042487"/>
    <w:rsid w:val="0004335A"/>
    <w:rsid w:val="0004337B"/>
    <w:rsid w:val="000437C9"/>
    <w:rsid w:val="000438AC"/>
    <w:rsid w:val="0004418C"/>
    <w:rsid w:val="00044635"/>
    <w:rsid w:val="0004470C"/>
    <w:rsid w:val="000468A2"/>
    <w:rsid w:val="0004759B"/>
    <w:rsid w:val="000506FE"/>
    <w:rsid w:val="0005120F"/>
    <w:rsid w:val="0005122A"/>
    <w:rsid w:val="00052359"/>
    <w:rsid w:val="000537E4"/>
    <w:rsid w:val="00054AC6"/>
    <w:rsid w:val="00054D40"/>
    <w:rsid w:val="00055CCE"/>
    <w:rsid w:val="000604C4"/>
    <w:rsid w:val="000609F5"/>
    <w:rsid w:val="00061DD0"/>
    <w:rsid w:val="00061F80"/>
    <w:rsid w:val="00062CA5"/>
    <w:rsid w:val="00063511"/>
    <w:rsid w:val="00064E31"/>
    <w:rsid w:val="0006518B"/>
    <w:rsid w:val="00065325"/>
    <w:rsid w:val="0006590D"/>
    <w:rsid w:val="0006615D"/>
    <w:rsid w:val="000663F5"/>
    <w:rsid w:val="000667D7"/>
    <w:rsid w:val="0006692F"/>
    <w:rsid w:val="000709B1"/>
    <w:rsid w:val="0007146C"/>
    <w:rsid w:val="0007205A"/>
    <w:rsid w:val="0007216B"/>
    <w:rsid w:val="0007368B"/>
    <w:rsid w:val="00074251"/>
    <w:rsid w:val="000745B0"/>
    <w:rsid w:val="000745EE"/>
    <w:rsid w:val="0007482F"/>
    <w:rsid w:val="0007488C"/>
    <w:rsid w:val="00074C2B"/>
    <w:rsid w:val="00074DC5"/>
    <w:rsid w:val="0007536A"/>
    <w:rsid w:val="000753A4"/>
    <w:rsid w:val="00075F33"/>
    <w:rsid w:val="0007681C"/>
    <w:rsid w:val="000773CB"/>
    <w:rsid w:val="0008047F"/>
    <w:rsid w:val="000806F6"/>
    <w:rsid w:val="00080FD9"/>
    <w:rsid w:val="00081926"/>
    <w:rsid w:val="00082310"/>
    <w:rsid w:val="0008450F"/>
    <w:rsid w:val="000851D7"/>
    <w:rsid w:val="00087C19"/>
    <w:rsid w:val="00087F35"/>
    <w:rsid w:val="0009215A"/>
    <w:rsid w:val="000933DF"/>
    <w:rsid w:val="00094637"/>
    <w:rsid w:val="000949AA"/>
    <w:rsid w:val="00096030"/>
    <w:rsid w:val="000972E4"/>
    <w:rsid w:val="000979A2"/>
    <w:rsid w:val="00097F5E"/>
    <w:rsid w:val="000A00B7"/>
    <w:rsid w:val="000A1C23"/>
    <w:rsid w:val="000A1D3F"/>
    <w:rsid w:val="000A1F25"/>
    <w:rsid w:val="000A4054"/>
    <w:rsid w:val="000A464B"/>
    <w:rsid w:val="000A5A07"/>
    <w:rsid w:val="000A7932"/>
    <w:rsid w:val="000A7DF6"/>
    <w:rsid w:val="000B3876"/>
    <w:rsid w:val="000B3CB8"/>
    <w:rsid w:val="000B56F8"/>
    <w:rsid w:val="000B633F"/>
    <w:rsid w:val="000B6787"/>
    <w:rsid w:val="000B687A"/>
    <w:rsid w:val="000B6D2A"/>
    <w:rsid w:val="000C1DE1"/>
    <w:rsid w:val="000C22EF"/>
    <w:rsid w:val="000C2BC2"/>
    <w:rsid w:val="000C3F0E"/>
    <w:rsid w:val="000C70AC"/>
    <w:rsid w:val="000C761C"/>
    <w:rsid w:val="000C761F"/>
    <w:rsid w:val="000C76B9"/>
    <w:rsid w:val="000C7E25"/>
    <w:rsid w:val="000C7EE9"/>
    <w:rsid w:val="000D2FFE"/>
    <w:rsid w:val="000D485B"/>
    <w:rsid w:val="000D6204"/>
    <w:rsid w:val="000D6C43"/>
    <w:rsid w:val="000D6F09"/>
    <w:rsid w:val="000D7FFA"/>
    <w:rsid w:val="000E004A"/>
    <w:rsid w:val="000E1157"/>
    <w:rsid w:val="000E1F9C"/>
    <w:rsid w:val="000E2B98"/>
    <w:rsid w:val="000E3226"/>
    <w:rsid w:val="000E3BD4"/>
    <w:rsid w:val="000E4496"/>
    <w:rsid w:val="000E481F"/>
    <w:rsid w:val="000E6144"/>
    <w:rsid w:val="000E6ED2"/>
    <w:rsid w:val="000F06B0"/>
    <w:rsid w:val="000F0FDA"/>
    <w:rsid w:val="000F1A51"/>
    <w:rsid w:val="000F2211"/>
    <w:rsid w:val="000F2793"/>
    <w:rsid w:val="000F291D"/>
    <w:rsid w:val="000F2929"/>
    <w:rsid w:val="000F2FD2"/>
    <w:rsid w:val="000F6326"/>
    <w:rsid w:val="000F69CC"/>
    <w:rsid w:val="000F6A88"/>
    <w:rsid w:val="000F6B0E"/>
    <w:rsid w:val="000F7AFC"/>
    <w:rsid w:val="00100423"/>
    <w:rsid w:val="00101702"/>
    <w:rsid w:val="001020FB"/>
    <w:rsid w:val="00102787"/>
    <w:rsid w:val="00103241"/>
    <w:rsid w:val="00104E6C"/>
    <w:rsid w:val="00106545"/>
    <w:rsid w:val="00106657"/>
    <w:rsid w:val="00106824"/>
    <w:rsid w:val="00107B6E"/>
    <w:rsid w:val="0011059B"/>
    <w:rsid w:val="00110705"/>
    <w:rsid w:val="001123A0"/>
    <w:rsid w:val="00113FCA"/>
    <w:rsid w:val="00115C6F"/>
    <w:rsid w:val="0011786D"/>
    <w:rsid w:val="00120CDB"/>
    <w:rsid w:val="001238A4"/>
    <w:rsid w:val="0012394A"/>
    <w:rsid w:val="00124C69"/>
    <w:rsid w:val="00125262"/>
    <w:rsid w:val="001259B6"/>
    <w:rsid w:val="00125E68"/>
    <w:rsid w:val="00125FE3"/>
    <w:rsid w:val="00131875"/>
    <w:rsid w:val="001333BD"/>
    <w:rsid w:val="0013461B"/>
    <w:rsid w:val="001361F4"/>
    <w:rsid w:val="00136C7A"/>
    <w:rsid w:val="0013706D"/>
    <w:rsid w:val="001416DE"/>
    <w:rsid w:val="00142FDE"/>
    <w:rsid w:val="0014410E"/>
    <w:rsid w:val="001446C4"/>
    <w:rsid w:val="00144D4C"/>
    <w:rsid w:val="00145C51"/>
    <w:rsid w:val="0014664E"/>
    <w:rsid w:val="00150A73"/>
    <w:rsid w:val="00150F78"/>
    <w:rsid w:val="00153918"/>
    <w:rsid w:val="001547AE"/>
    <w:rsid w:val="0015665F"/>
    <w:rsid w:val="0016052F"/>
    <w:rsid w:val="00160DCF"/>
    <w:rsid w:val="00161454"/>
    <w:rsid w:val="00161919"/>
    <w:rsid w:val="00163794"/>
    <w:rsid w:val="00163BFB"/>
    <w:rsid w:val="00164642"/>
    <w:rsid w:val="001659E8"/>
    <w:rsid w:val="00165C8C"/>
    <w:rsid w:val="00165EA6"/>
    <w:rsid w:val="00166228"/>
    <w:rsid w:val="0016737C"/>
    <w:rsid w:val="00167DFA"/>
    <w:rsid w:val="00170656"/>
    <w:rsid w:val="00170687"/>
    <w:rsid w:val="0017205F"/>
    <w:rsid w:val="0017362A"/>
    <w:rsid w:val="001743BE"/>
    <w:rsid w:val="00174B47"/>
    <w:rsid w:val="0017504C"/>
    <w:rsid w:val="001768BD"/>
    <w:rsid w:val="00177E75"/>
    <w:rsid w:val="001802AC"/>
    <w:rsid w:val="0018052A"/>
    <w:rsid w:val="001816C2"/>
    <w:rsid w:val="00181D17"/>
    <w:rsid w:val="00182C7A"/>
    <w:rsid w:val="001830EA"/>
    <w:rsid w:val="001840BF"/>
    <w:rsid w:val="00185AF1"/>
    <w:rsid w:val="00185DEA"/>
    <w:rsid w:val="00186DD9"/>
    <w:rsid w:val="00187580"/>
    <w:rsid w:val="00187D87"/>
    <w:rsid w:val="0019147F"/>
    <w:rsid w:val="001917AF"/>
    <w:rsid w:val="00191D20"/>
    <w:rsid w:val="00192917"/>
    <w:rsid w:val="0019368B"/>
    <w:rsid w:val="00193FA0"/>
    <w:rsid w:val="001947D7"/>
    <w:rsid w:val="00194955"/>
    <w:rsid w:val="001A0D44"/>
    <w:rsid w:val="001A14A5"/>
    <w:rsid w:val="001A167C"/>
    <w:rsid w:val="001A1B7E"/>
    <w:rsid w:val="001A1D8F"/>
    <w:rsid w:val="001A2102"/>
    <w:rsid w:val="001A3182"/>
    <w:rsid w:val="001A39B1"/>
    <w:rsid w:val="001A4971"/>
    <w:rsid w:val="001A54B5"/>
    <w:rsid w:val="001A6169"/>
    <w:rsid w:val="001B03E7"/>
    <w:rsid w:val="001B0C8B"/>
    <w:rsid w:val="001B2B7D"/>
    <w:rsid w:val="001B326D"/>
    <w:rsid w:val="001B48C8"/>
    <w:rsid w:val="001B49FA"/>
    <w:rsid w:val="001B69BC"/>
    <w:rsid w:val="001B72C4"/>
    <w:rsid w:val="001C0364"/>
    <w:rsid w:val="001C3026"/>
    <w:rsid w:val="001C47D1"/>
    <w:rsid w:val="001C4877"/>
    <w:rsid w:val="001C4EC4"/>
    <w:rsid w:val="001C7F61"/>
    <w:rsid w:val="001D0236"/>
    <w:rsid w:val="001D09DD"/>
    <w:rsid w:val="001D1444"/>
    <w:rsid w:val="001D15DA"/>
    <w:rsid w:val="001D3C52"/>
    <w:rsid w:val="001D5C4F"/>
    <w:rsid w:val="001D6577"/>
    <w:rsid w:val="001D6BBF"/>
    <w:rsid w:val="001D6DD8"/>
    <w:rsid w:val="001E05B0"/>
    <w:rsid w:val="001E1FF2"/>
    <w:rsid w:val="001E4243"/>
    <w:rsid w:val="001E7A42"/>
    <w:rsid w:val="001F11AE"/>
    <w:rsid w:val="001F1AC5"/>
    <w:rsid w:val="001F218B"/>
    <w:rsid w:val="001F3378"/>
    <w:rsid w:val="001F3E80"/>
    <w:rsid w:val="001F4C53"/>
    <w:rsid w:val="001F4F0C"/>
    <w:rsid w:val="001F56BB"/>
    <w:rsid w:val="001F5C40"/>
    <w:rsid w:val="001F5E75"/>
    <w:rsid w:val="001F7AD7"/>
    <w:rsid w:val="002001CE"/>
    <w:rsid w:val="00200267"/>
    <w:rsid w:val="00200777"/>
    <w:rsid w:val="00201685"/>
    <w:rsid w:val="00201766"/>
    <w:rsid w:val="00201991"/>
    <w:rsid w:val="00201F6A"/>
    <w:rsid w:val="00205C79"/>
    <w:rsid w:val="00206890"/>
    <w:rsid w:val="00206CD7"/>
    <w:rsid w:val="00210330"/>
    <w:rsid w:val="00210D1F"/>
    <w:rsid w:val="0021214A"/>
    <w:rsid w:val="00212635"/>
    <w:rsid w:val="00212B9B"/>
    <w:rsid w:val="002131F9"/>
    <w:rsid w:val="00213B63"/>
    <w:rsid w:val="0021505F"/>
    <w:rsid w:val="00215352"/>
    <w:rsid w:val="00216B65"/>
    <w:rsid w:val="002174B1"/>
    <w:rsid w:val="00217DD9"/>
    <w:rsid w:val="00217ED1"/>
    <w:rsid w:val="00222533"/>
    <w:rsid w:val="0022387D"/>
    <w:rsid w:val="00224423"/>
    <w:rsid w:val="002268AB"/>
    <w:rsid w:val="00226FB0"/>
    <w:rsid w:val="002278FC"/>
    <w:rsid w:val="00227C14"/>
    <w:rsid w:val="0023131D"/>
    <w:rsid w:val="002324FE"/>
    <w:rsid w:val="0023274C"/>
    <w:rsid w:val="00233458"/>
    <w:rsid w:val="00233CBF"/>
    <w:rsid w:val="00233FB6"/>
    <w:rsid w:val="002341DC"/>
    <w:rsid w:val="00235116"/>
    <w:rsid w:val="00236115"/>
    <w:rsid w:val="002366BC"/>
    <w:rsid w:val="00237C6B"/>
    <w:rsid w:val="002401D7"/>
    <w:rsid w:val="002421E8"/>
    <w:rsid w:val="00244103"/>
    <w:rsid w:val="002443DB"/>
    <w:rsid w:val="00245A26"/>
    <w:rsid w:val="002471E0"/>
    <w:rsid w:val="00251253"/>
    <w:rsid w:val="00251297"/>
    <w:rsid w:val="0025153B"/>
    <w:rsid w:val="00252C1E"/>
    <w:rsid w:val="00253A65"/>
    <w:rsid w:val="00253ECD"/>
    <w:rsid w:val="00254FDD"/>
    <w:rsid w:val="002553EF"/>
    <w:rsid w:val="00255D02"/>
    <w:rsid w:val="002560F9"/>
    <w:rsid w:val="00256914"/>
    <w:rsid w:val="0026044A"/>
    <w:rsid w:val="002608F9"/>
    <w:rsid w:val="00260C2E"/>
    <w:rsid w:val="00260F3D"/>
    <w:rsid w:val="002610E0"/>
    <w:rsid w:val="002611DF"/>
    <w:rsid w:val="00261C5A"/>
    <w:rsid w:val="002637A8"/>
    <w:rsid w:val="00265243"/>
    <w:rsid w:val="00266DFF"/>
    <w:rsid w:val="002702BB"/>
    <w:rsid w:val="002711DB"/>
    <w:rsid w:val="0027495D"/>
    <w:rsid w:val="00274ED1"/>
    <w:rsid w:val="00276356"/>
    <w:rsid w:val="002766A7"/>
    <w:rsid w:val="00276B5F"/>
    <w:rsid w:val="00276FB2"/>
    <w:rsid w:val="0027702E"/>
    <w:rsid w:val="00281EA1"/>
    <w:rsid w:val="00282375"/>
    <w:rsid w:val="00283D0F"/>
    <w:rsid w:val="00285BC7"/>
    <w:rsid w:val="00286F66"/>
    <w:rsid w:val="00290B79"/>
    <w:rsid w:val="00291058"/>
    <w:rsid w:val="0029158D"/>
    <w:rsid w:val="002936A9"/>
    <w:rsid w:val="00294B31"/>
    <w:rsid w:val="00295524"/>
    <w:rsid w:val="002963A3"/>
    <w:rsid w:val="00297B37"/>
    <w:rsid w:val="00297D1D"/>
    <w:rsid w:val="002A2D68"/>
    <w:rsid w:val="002A369C"/>
    <w:rsid w:val="002A4AB9"/>
    <w:rsid w:val="002A52DD"/>
    <w:rsid w:val="002A57E9"/>
    <w:rsid w:val="002A5E91"/>
    <w:rsid w:val="002A6336"/>
    <w:rsid w:val="002A653B"/>
    <w:rsid w:val="002A6556"/>
    <w:rsid w:val="002A674F"/>
    <w:rsid w:val="002A6D1C"/>
    <w:rsid w:val="002B02C0"/>
    <w:rsid w:val="002B1A72"/>
    <w:rsid w:val="002B2A2A"/>
    <w:rsid w:val="002B3BC8"/>
    <w:rsid w:val="002B526C"/>
    <w:rsid w:val="002B671A"/>
    <w:rsid w:val="002B69DA"/>
    <w:rsid w:val="002B6C9D"/>
    <w:rsid w:val="002C044E"/>
    <w:rsid w:val="002C0BAA"/>
    <w:rsid w:val="002C1652"/>
    <w:rsid w:val="002C18F4"/>
    <w:rsid w:val="002C197E"/>
    <w:rsid w:val="002C1EE4"/>
    <w:rsid w:val="002C2650"/>
    <w:rsid w:val="002C34F0"/>
    <w:rsid w:val="002C3586"/>
    <w:rsid w:val="002C3CE9"/>
    <w:rsid w:val="002C4235"/>
    <w:rsid w:val="002C4C6C"/>
    <w:rsid w:val="002C5734"/>
    <w:rsid w:val="002C5DDA"/>
    <w:rsid w:val="002C635D"/>
    <w:rsid w:val="002C6C36"/>
    <w:rsid w:val="002C759A"/>
    <w:rsid w:val="002D0911"/>
    <w:rsid w:val="002D0B2A"/>
    <w:rsid w:val="002D204B"/>
    <w:rsid w:val="002D25D7"/>
    <w:rsid w:val="002D28FB"/>
    <w:rsid w:val="002D40A9"/>
    <w:rsid w:val="002D4E90"/>
    <w:rsid w:val="002D5C05"/>
    <w:rsid w:val="002D67EB"/>
    <w:rsid w:val="002D75DD"/>
    <w:rsid w:val="002E013D"/>
    <w:rsid w:val="002E0F52"/>
    <w:rsid w:val="002E1455"/>
    <w:rsid w:val="002E3BE6"/>
    <w:rsid w:val="002E7060"/>
    <w:rsid w:val="002E75DE"/>
    <w:rsid w:val="002E7715"/>
    <w:rsid w:val="002E7CF7"/>
    <w:rsid w:val="002E7E27"/>
    <w:rsid w:val="002F0537"/>
    <w:rsid w:val="002F105B"/>
    <w:rsid w:val="002F212E"/>
    <w:rsid w:val="002F440C"/>
    <w:rsid w:val="002F4518"/>
    <w:rsid w:val="002F5A0D"/>
    <w:rsid w:val="002F6893"/>
    <w:rsid w:val="002F6CF2"/>
    <w:rsid w:val="002F706C"/>
    <w:rsid w:val="00300A6C"/>
    <w:rsid w:val="0030267D"/>
    <w:rsid w:val="003045A4"/>
    <w:rsid w:val="00304779"/>
    <w:rsid w:val="0030499E"/>
    <w:rsid w:val="00304B6D"/>
    <w:rsid w:val="00305643"/>
    <w:rsid w:val="00307D2C"/>
    <w:rsid w:val="003102BA"/>
    <w:rsid w:val="00311584"/>
    <w:rsid w:val="00313CDF"/>
    <w:rsid w:val="00313D9B"/>
    <w:rsid w:val="003144BD"/>
    <w:rsid w:val="00315E13"/>
    <w:rsid w:val="00317CA6"/>
    <w:rsid w:val="00320940"/>
    <w:rsid w:val="00320AA6"/>
    <w:rsid w:val="00320B33"/>
    <w:rsid w:val="00320F68"/>
    <w:rsid w:val="00321281"/>
    <w:rsid w:val="00321F24"/>
    <w:rsid w:val="003228EF"/>
    <w:rsid w:val="00324A0C"/>
    <w:rsid w:val="0032530E"/>
    <w:rsid w:val="00326FDB"/>
    <w:rsid w:val="0032721F"/>
    <w:rsid w:val="00327948"/>
    <w:rsid w:val="00331209"/>
    <w:rsid w:val="003323E7"/>
    <w:rsid w:val="00333281"/>
    <w:rsid w:val="00333FEB"/>
    <w:rsid w:val="00335203"/>
    <w:rsid w:val="003360B4"/>
    <w:rsid w:val="0033665C"/>
    <w:rsid w:val="003409BE"/>
    <w:rsid w:val="0034148F"/>
    <w:rsid w:val="00342A39"/>
    <w:rsid w:val="00344A02"/>
    <w:rsid w:val="00344D3D"/>
    <w:rsid w:val="00345685"/>
    <w:rsid w:val="00345C65"/>
    <w:rsid w:val="003523DF"/>
    <w:rsid w:val="00355D64"/>
    <w:rsid w:val="00356B85"/>
    <w:rsid w:val="0035728D"/>
    <w:rsid w:val="0035758A"/>
    <w:rsid w:val="00357997"/>
    <w:rsid w:val="00361681"/>
    <w:rsid w:val="00361FF0"/>
    <w:rsid w:val="003636C5"/>
    <w:rsid w:val="003648A1"/>
    <w:rsid w:val="003648E7"/>
    <w:rsid w:val="003651CE"/>
    <w:rsid w:val="0036577C"/>
    <w:rsid w:val="00371977"/>
    <w:rsid w:val="00371B10"/>
    <w:rsid w:val="003745F3"/>
    <w:rsid w:val="00374A9F"/>
    <w:rsid w:val="00374AC4"/>
    <w:rsid w:val="00374BB3"/>
    <w:rsid w:val="00374BCC"/>
    <w:rsid w:val="00376B2F"/>
    <w:rsid w:val="003771BB"/>
    <w:rsid w:val="003804E7"/>
    <w:rsid w:val="00380920"/>
    <w:rsid w:val="003821EB"/>
    <w:rsid w:val="003824FC"/>
    <w:rsid w:val="00382EB4"/>
    <w:rsid w:val="00383634"/>
    <w:rsid w:val="0038433C"/>
    <w:rsid w:val="00385679"/>
    <w:rsid w:val="003856BF"/>
    <w:rsid w:val="00387605"/>
    <w:rsid w:val="003900C7"/>
    <w:rsid w:val="003907D0"/>
    <w:rsid w:val="003912AB"/>
    <w:rsid w:val="00391C3E"/>
    <w:rsid w:val="00392588"/>
    <w:rsid w:val="00393B74"/>
    <w:rsid w:val="00393F0B"/>
    <w:rsid w:val="003950C8"/>
    <w:rsid w:val="0039554F"/>
    <w:rsid w:val="00395862"/>
    <w:rsid w:val="00395A68"/>
    <w:rsid w:val="00396028"/>
    <w:rsid w:val="00396FD5"/>
    <w:rsid w:val="003975DB"/>
    <w:rsid w:val="0039779D"/>
    <w:rsid w:val="003A0BD5"/>
    <w:rsid w:val="003A3145"/>
    <w:rsid w:val="003A3B1E"/>
    <w:rsid w:val="003A3CEF"/>
    <w:rsid w:val="003A4A7D"/>
    <w:rsid w:val="003A4C38"/>
    <w:rsid w:val="003A58BD"/>
    <w:rsid w:val="003A73AD"/>
    <w:rsid w:val="003A7527"/>
    <w:rsid w:val="003B09C1"/>
    <w:rsid w:val="003B0A44"/>
    <w:rsid w:val="003B0AE8"/>
    <w:rsid w:val="003B14A8"/>
    <w:rsid w:val="003B2658"/>
    <w:rsid w:val="003B3F92"/>
    <w:rsid w:val="003B47AA"/>
    <w:rsid w:val="003B49EA"/>
    <w:rsid w:val="003B5188"/>
    <w:rsid w:val="003B5A27"/>
    <w:rsid w:val="003B5B29"/>
    <w:rsid w:val="003B64C0"/>
    <w:rsid w:val="003B6B19"/>
    <w:rsid w:val="003B6BE2"/>
    <w:rsid w:val="003B7356"/>
    <w:rsid w:val="003B7757"/>
    <w:rsid w:val="003B7A83"/>
    <w:rsid w:val="003B7DE0"/>
    <w:rsid w:val="003B7FA7"/>
    <w:rsid w:val="003B7FDD"/>
    <w:rsid w:val="003C00CE"/>
    <w:rsid w:val="003C4673"/>
    <w:rsid w:val="003C47D9"/>
    <w:rsid w:val="003C4807"/>
    <w:rsid w:val="003C6922"/>
    <w:rsid w:val="003C70D7"/>
    <w:rsid w:val="003C7583"/>
    <w:rsid w:val="003C7DA6"/>
    <w:rsid w:val="003C7DB8"/>
    <w:rsid w:val="003D2A83"/>
    <w:rsid w:val="003D45A4"/>
    <w:rsid w:val="003D4706"/>
    <w:rsid w:val="003D5846"/>
    <w:rsid w:val="003D59EA"/>
    <w:rsid w:val="003D6256"/>
    <w:rsid w:val="003D7BDF"/>
    <w:rsid w:val="003D7E0B"/>
    <w:rsid w:val="003E144A"/>
    <w:rsid w:val="003E18C4"/>
    <w:rsid w:val="003E1E57"/>
    <w:rsid w:val="003E288C"/>
    <w:rsid w:val="003E3E50"/>
    <w:rsid w:val="003E4EA2"/>
    <w:rsid w:val="003E6681"/>
    <w:rsid w:val="003E6BE2"/>
    <w:rsid w:val="003E6EAC"/>
    <w:rsid w:val="003E76FD"/>
    <w:rsid w:val="003E7DEE"/>
    <w:rsid w:val="003F0384"/>
    <w:rsid w:val="003F0EDC"/>
    <w:rsid w:val="003F0FB2"/>
    <w:rsid w:val="003F118F"/>
    <w:rsid w:val="003F1567"/>
    <w:rsid w:val="003F2191"/>
    <w:rsid w:val="003F29D4"/>
    <w:rsid w:val="003F31C4"/>
    <w:rsid w:val="003F4563"/>
    <w:rsid w:val="003F4B41"/>
    <w:rsid w:val="003F57C7"/>
    <w:rsid w:val="003F6F09"/>
    <w:rsid w:val="003F703D"/>
    <w:rsid w:val="00403CB1"/>
    <w:rsid w:val="0040568C"/>
    <w:rsid w:val="00406C57"/>
    <w:rsid w:val="00411ADA"/>
    <w:rsid w:val="00411D6C"/>
    <w:rsid w:val="004133AC"/>
    <w:rsid w:val="00414FB8"/>
    <w:rsid w:val="0041542F"/>
    <w:rsid w:val="004161EC"/>
    <w:rsid w:val="00417550"/>
    <w:rsid w:val="00420669"/>
    <w:rsid w:val="00420797"/>
    <w:rsid w:val="004225DD"/>
    <w:rsid w:val="00425BF5"/>
    <w:rsid w:val="00425C9C"/>
    <w:rsid w:val="00426BE2"/>
    <w:rsid w:val="0042715C"/>
    <w:rsid w:val="00427194"/>
    <w:rsid w:val="00427C16"/>
    <w:rsid w:val="004329BC"/>
    <w:rsid w:val="00432FF8"/>
    <w:rsid w:val="00433FB3"/>
    <w:rsid w:val="00434507"/>
    <w:rsid w:val="00436ABB"/>
    <w:rsid w:val="00437493"/>
    <w:rsid w:val="00441170"/>
    <w:rsid w:val="00443279"/>
    <w:rsid w:val="00443659"/>
    <w:rsid w:val="00444285"/>
    <w:rsid w:val="004448FD"/>
    <w:rsid w:val="00444A25"/>
    <w:rsid w:val="004469DD"/>
    <w:rsid w:val="00447AF5"/>
    <w:rsid w:val="0045104C"/>
    <w:rsid w:val="004527A8"/>
    <w:rsid w:val="00453842"/>
    <w:rsid w:val="0045393D"/>
    <w:rsid w:val="00456F54"/>
    <w:rsid w:val="00457437"/>
    <w:rsid w:val="00461071"/>
    <w:rsid w:val="00461D50"/>
    <w:rsid w:val="004621B6"/>
    <w:rsid w:val="00462A94"/>
    <w:rsid w:val="00462D4E"/>
    <w:rsid w:val="0046321D"/>
    <w:rsid w:val="00463350"/>
    <w:rsid w:val="00464258"/>
    <w:rsid w:val="00464776"/>
    <w:rsid w:val="00464C81"/>
    <w:rsid w:val="00464CA2"/>
    <w:rsid w:val="00465039"/>
    <w:rsid w:val="0046556A"/>
    <w:rsid w:val="00465D71"/>
    <w:rsid w:val="004668B7"/>
    <w:rsid w:val="00467EAD"/>
    <w:rsid w:val="00470227"/>
    <w:rsid w:val="00470D66"/>
    <w:rsid w:val="0047241F"/>
    <w:rsid w:val="00472E80"/>
    <w:rsid w:val="004734B3"/>
    <w:rsid w:val="00473505"/>
    <w:rsid w:val="00473A56"/>
    <w:rsid w:val="00473D20"/>
    <w:rsid w:val="00473F4F"/>
    <w:rsid w:val="0047717D"/>
    <w:rsid w:val="004775BE"/>
    <w:rsid w:val="00477F57"/>
    <w:rsid w:val="00480BE1"/>
    <w:rsid w:val="00480CD3"/>
    <w:rsid w:val="00481105"/>
    <w:rsid w:val="00481C83"/>
    <w:rsid w:val="00482A28"/>
    <w:rsid w:val="00482E3F"/>
    <w:rsid w:val="004830A2"/>
    <w:rsid w:val="00483163"/>
    <w:rsid w:val="0048565E"/>
    <w:rsid w:val="004860A9"/>
    <w:rsid w:val="0048615F"/>
    <w:rsid w:val="00486708"/>
    <w:rsid w:val="0048767A"/>
    <w:rsid w:val="00490BD2"/>
    <w:rsid w:val="00491318"/>
    <w:rsid w:val="00492EAA"/>
    <w:rsid w:val="004931B9"/>
    <w:rsid w:val="004937D3"/>
    <w:rsid w:val="00493C44"/>
    <w:rsid w:val="00495EAF"/>
    <w:rsid w:val="004962D6"/>
    <w:rsid w:val="004974B2"/>
    <w:rsid w:val="00497708"/>
    <w:rsid w:val="004A1260"/>
    <w:rsid w:val="004A1AB8"/>
    <w:rsid w:val="004A1AE0"/>
    <w:rsid w:val="004A3355"/>
    <w:rsid w:val="004A3A95"/>
    <w:rsid w:val="004A4D52"/>
    <w:rsid w:val="004A5EA7"/>
    <w:rsid w:val="004A63D1"/>
    <w:rsid w:val="004A7BC5"/>
    <w:rsid w:val="004B0066"/>
    <w:rsid w:val="004B03AA"/>
    <w:rsid w:val="004B0D26"/>
    <w:rsid w:val="004B1ADB"/>
    <w:rsid w:val="004B2ABD"/>
    <w:rsid w:val="004B440C"/>
    <w:rsid w:val="004B5B1E"/>
    <w:rsid w:val="004C1142"/>
    <w:rsid w:val="004C1854"/>
    <w:rsid w:val="004C5000"/>
    <w:rsid w:val="004C59DC"/>
    <w:rsid w:val="004C608B"/>
    <w:rsid w:val="004C61EA"/>
    <w:rsid w:val="004C72E4"/>
    <w:rsid w:val="004C7C21"/>
    <w:rsid w:val="004D0281"/>
    <w:rsid w:val="004D2341"/>
    <w:rsid w:val="004D43E4"/>
    <w:rsid w:val="004D4F93"/>
    <w:rsid w:val="004E0235"/>
    <w:rsid w:val="004E0A77"/>
    <w:rsid w:val="004E2F33"/>
    <w:rsid w:val="004E31D3"/>
    <w:rsid w:val="004E594E"/>
    <w:rsid w:val="004E6196"/>
    <w:rsid w:val="004E6544"/>
    <w:rsid w:val="004E7AAD"/>
    <w:rsid w:val="004F0A90"/>
    <w:rsid w:val="004F1395"/>
    <w:rsid w:val="004F1BDC"/>
    <w:rsid w:val="004F3853"/>
    <w:rsid w:val="004F4BF5"/>
    <w:rsid w:val="004F5750"/>
    <w:rsid w:val="004F6099"/>
    <w:rsid w:val="004F6685"/>
    <w:rsid w:val="004F6889"/>
    <w:rsid w:val="004F7BB2"/>
    <w:rsid w:val="005004A0"/>
    <w:rsid w:val="00500FFF"/>
    <w:rsid w:val="00502E9A"/>
    <w:rsid w:val="0050357F"/>
    <w:rsid w:val="00504750"/>
    <w:rsid w:val="00505998"/>
    <w:rsid w:val="00506029"/>
    <w:rsid w:val="005065DF"/>
    <w:rsid w:val="005073D8"/>
    <w:rsid w:val="0051059D"/>
    <w:rsid w:val="00511D03"/>
    <w:rsid w:val="00512C87"/>
    <w:rsid w:val="005134C1"/>
    <w:rsid w:val="005137AA"/>
    <w:rsid w:val="005148AC"/>
    <w:rsid w:val="00514DCD"/>
    <w:rsid w:val="005162FA"/>
    <w:rsid w:val="0052046F"/>
    <w:rsid w:val="00520FCC"/>
    <w:rsid w:val="0052212C"/>
    <w:rsid w:val="005230DF"/>
    <w:rsid w:val="00523BC2"/>
    <w:rsid w:val="005240F3"/>
    <w:rsid w:val="005255E1"/>
    <w:rsid w:val="00526209"/>
    <w:rsid w:val="0052780D"/>
    <w:rsid w:val="00530D49"/>
    <w:rsid w:val="0053103F"/>
    <w:rsid w:val="00531083"/>
    <w:rsid w:val="0053237C"/>
    <w:rsid w:val="00534280"/>
    <w:rsid w:val="00534D11"/>
    <w:rsid w:val="00534DA3"/>
    <w:rsid w:val="005377AA"/>
    <w:rsid w:val="0053782F"/>
    <w:rsid w:val="00540AB3"/>
    <w:rsid w:val="0054121A"/>
    <w:rsid w:val="0054135B"/>
    <w:rsid w:val="00541B86"/>
    <w:rsid w:val="00541FC0"/>
    <w:rsid w:val="00542BC6"/>
    <w:rsid w:val="005430A7"/>
    <w:rsid w:val="005432A2"/>
    <w:rsid w:val="005436DB"/>
    <w:rsid w:val="00543CBB"/>
    <w:rsid w:val="005445ED"/>
    <w:rsid w:val="00544AF9"/>
    <w:rsid w:val="005457BB"/>
    <w:rsid w:val="005460DC"/>
    <w:rsid w:val="00550A47"/>
    <w:rsid w:val="00550CBE"/>
    <w:rsid w:val="00552CAA"/>
    <w:rsid w:val="00553A16"/>
    <w:rsid w:val="005550A1"/>
    <w:rsid w:val="00556059"/>
    <w:rsid w:val="0055739E"/>
    <w:rsid w:val="00557B63"/>
    <w:rsid w:val="00562660"/>
    <w:rsid w:val="00562CA3"/>
    <w:rsid w:val="005642CC"/>
    <w:rsid w:val="00564474"/>
    <w:rsid w:val="00564C72"/>
    <w:rsid w:val="0056527F"/>
    <w:rsid w:val="005660B7"/>
    <w:rsid w:val="0057046B"/>
    <w:rsid w:val="005704B3"/>
    <w:rsid w:val="0057079D"/>
    <w:rsid w:val="00571832"/>
    <w:rsid w:val="00571ECC"/>
    <w:rsid w:val="005721C6"/>
    <w:rsid w:val="00572271"/>
    <w:rsid w:val="00572D7E"/>
    <w:rsid w:val="00573488"/>
    <w:rsid w:val="00575CA9"/>
    <w:rsid w:val="00575D2D"/>
    <w:rsid w:val="00577F9A"/>
    <w:rsid w:val="00580042"/>
    <w:rsid w:val="00580515"/>
    <w:rsid w:val="00580D08"/>
    <w:rsid w:val="005825E6"/>
    <w:rsid w:val="00582686"/>
    <w:rsid w:val="00584A1D"/>
    <w:rsid w:val="00586162"/>
    <w:rsid w:val="00587CA1"/>
    <w:rsid w:val="00587D02"/>
    <w:rsid w:val="00590E63"/>
    <w:rsid w:val="0059105C"/>
    <w:rsid w:val="005937B4"/>
    <w:rsid w:val="005944E2"/>
    <w:rsid w:val="00594DB6"/>
    <w:rsid w:val="00594EEF"/>
    <w:rsid w:val="00595423"/>
    <w:rsid w:val="00595586"/>
    <w:rsid w:val="00595644"/>
    <w:rsid w:val="00596AFE"/>
    <w:rsid w:val="00596D27"/>
    <w:rsid w:val="005971BB"/>
    <w:rsid w:val="0059723E"/>
    <w:rsid w:val="00597FAC"/>
    <w:rsid w:val="005A1DAF"/>
    <w:rsid w:val="005A3E13"/>
    <w:rsid w:val="005A3FD3"/>
    <w:rsid w:val="005A470B"/>
    <w:rsid w:val="005A50C1"/>
    <w:rsid w:val="005A53C9"/>
    <w:rsid w:val="005A5FB1"/>
    <w:rsid w:val="005B01B0"/>
    <w:rsid w:val="005B1DF5"/>
    <w:rsid w:val="005B30BA"/>
    <w:rsid w:val="005B30BB"/>
    <w:rsid w:val="005B3F68"/>
    <w:rsid w:val="005B44AD"/>
    <w:rsid w:val="005B50D7"/>
    <w:rsid w:val="005B55A1"/>
    <w:rsid w:val="005B5E82"/>
    <w:rsid w:val="005B6C95"/>
    <w:rsid w:val="005B7AA1"/>
    <w:rsid w:val="005C0BA3"/>
    <w:rsid w:val="005C259A"/>
    <w:rsid w:val="005C2D3A"/>
    <w:rsid w:val="005C463B"/>
    <w:rsid w:val="005C4E97"/>
    <w:rsid w:val="005C61E9"/>
    <w:rsid w:val="005C6313"/>
    <w:rsid w:val="005C6D7C"/>
    <w:rsid w:val="005D0351"/>
    <w:rsid w:val="005D2D5E"/>
    <w:rsid w:val="005D7B8D"/>
    <w:rsid w:val="005E348E"/>
    <w:rsid w:val="005E3B61"/>
    <w:rsid w:val="005E45FD"/>
    <w:rsid w:val="005E4E37"/>
    <w:rsid w:val="005E7074"/>
    <w:rsid w:val="005E7547"/>
    <w:rsid w:val="005F0A22"/>
    <w:rsid w:val="005F11CE"/>
    <w:rsid w:val="005F1552"/>
    <w:rsid w:val="005F2E08"/>
    <w:rsid w:val="005F48ED"/>
    <w:rsid w:val="005F576A"/>
    <w:rsid w:val="005F5D92"/>
    <w:rsid w:val="005F7000"/>
    <w:rsid w:val="0060000D"/>
    <w:rsid w:val="00600E53"/>
    <w:rsid w:val="006011DF"/>
    <w:rsid w:val="00601E36"/>
    <w:rsid w:val="00603F0F"/>
    <w:rsid w:val="006109BC"/>
    <w:rsid w:val="00610B16"/>
    <w:rsid w:val="00612441"/>
    <w:rsid w:val="00612A86"/>
    <w:rsid w:val="00613E1B"/>
    <w:rsid w:val="0061485B"/>
    <w:rsid w:val="00614B60"/>
    <w:rsid w:val="00614CC7"/>
    <w:rsid w:val="00614E78"/>
    <w:rsid w:val="00616B38"/>
    <w:rsid w:val="00617091"/>
    <w:rsid w:val="00620023"/>
    <w:rsid w:val="0062026A"/>
    <w:rsid w:val="00620404"/>
    <w:rsid w:val="00620692"/>
    <w:rsid w:val="00620CE6"/>
    <w:rsid w:val="006214E2"/>
    <w:rsid w:val="00622CFF"/>
    <w:rsid w:val="00622F7D"/>
    <w:rsid w:val="006249DB"/>
    <w:rsid w:val="0062529B"/>
    <w:rsid w:val="0062591C"/>
    <w:rsid w:val="00625BBE"/>
    <w:rsid w:val="006275C1"/>
    <w:rsid w:val="00627AA2"/>
    <w:rsid w:val="00630067"/>
    <w:rsid w:val="00630DE1"/>
    <w:rsid w:val="00631B4F"/>
    <w:rsid w:val="0063341C"/>
    <w:rsid w:val="00633837"/>
    <w:rsid w:val="00633BBC"/>
    <w:rsid w:val="006358FB"/>
    <w:rsid w:val="006361CE"/>
    <w:rsid w:val="00637C0D"/>
    <w:rsid w:val="00641516"/>
    <w:rsid w:val="0064248C"/>
    <w:rsid w:val="006435EC"/>
    <w:rsid w:val="00643DAE"/>
    <w:rsid w:val="00643F81"/>
    <w:rsid w:val="0064504A"/>
    <w:rsid w:val="006469F5"/>
    <w:rsid w:val="0065045B"/>
    <w:rsid w:val="0065252B"/>
    <w:rsid w:val="006539C0"/>
    <w:rsid w:val="006558D4"/>
    <w:rsid w:val="0065625F"/>
    <w:rsid w:val="0066013F"/>
    <w:rsid w:val="0066088B"/>
    <w:rsid w:val="0066101B"/>
    <w:rsid w:val="00663B7F"/>
    <w:rsid w:val="00664373"/>
    <w:rsid w:val="00666728"/>
    <w:rsid w:val="00666CA5"/>
    <w:rsid w:val="0066742A"/>
    <w:rsid w:val="00667B5B"/>
    <w:rsid w:val="00667E8C"/>
    <w:rsid w:val="006714A4"/>
    <w:rsid w:val="006721D5"/>
    <w:rsid w:val="00672B10"/>
    <w:rsid w:val="00674357"/>
    <w:rsid w:val="00677120"/>
    <w:rsid w:val="00677274"/>
    <w:rsid w:val="006806E6"/>
    <w:rsid w:val="00680AEA"/>
    <w:rsid w:val="006815FB"/>
    <w:rsid w:val="00681824"/>
    <w:rsid w:val="006819BA"/>
    <w:rsid w:val="006827D2"/>
    <w:rsid w:val="00684503"/>
    <w:rsid w:val="00684E8B"/>
    <w:rsid w:val="00686AEE"/>
    <w:rsid w:val="00687094"/>
    <w:rsid w:val="006906A9"/>
    <w:rsid w:val="0069097B"/>
    <w:rsid w:val="006919CC"/>
    <w:rsid w:val="00692CF9"/>
    <w:rsid w:val="00694BAF"/>
    <w:rsid w:val="00695A86"/>
    <w:rsid w:val="00695AF2"/>
    <w:rsid w:val="00695CEF"/>
    <w:rsid w:val="00695E86"/>
    <w:rsid w:val="006974FE"/>
    <w:rsid w:val="006979F0"/>
    <w:rsid w:val="006A06DB"/>
    <w:rsid w:val="006A23F8"/>
    <w:rsid w:val="006A5097"/>
    <w:rsid w:val="006A7B18"/>
    <w:rsid w:val="006B21C5"/>
    <w:rsid w:val="006B3970"/>
    <w:rsid w:val="006B536B"/>
    <w:rsid w:val="006B7DB3"/>
    <w:rsid w:val="006C0D62"/>
    <w:rsid w:val="006C1794"/>
    <w:rsid w:val="006C4B95"/>
    <w:rsid w:val="006C4E79"/>
    <w:rsid w:val="006C591B"/>
    <w:rsid w:val="006C65CB"/>
    <w:rsid w:val="006C6F1C"/>
    <w:rsid w:val="006C741C"/>
    <w:rsid w:val="006D1A42"/>
    <w:rsid w:val="006D2733"/>
    <w:rsid w:val="006D2887"/>
    <w:rsid w:val="006D3389"/>
    <w:rsid w:val="006D3401"/>
    <w:rsid w:val="006D3ABB"/>
    <w:rsid w:val="006D4DFB"/>
    <w:rsid w:val="006D56F9"/>
    <w:rsid w:val="006E0994"/>
    <w:rsid w:val="006E19CC"/>
    <w:rsid w:val="006E319E"/>
    <w:rsid w:val="006E44D5"/>
    <w:rsid w:val="006E4DD8"/>
    <w:rsid w:val="006E58D8"/>
    <w:rsid w:val="006E6448"/>
    <w:rsid w:val="006E7553"/>
    <w:rsid w:val="006F2079"/>
    <w:rsid w:val="006F4AC2"/>
    <w:rsid w:val="006F5EED"/>
    <w:rsid w:val="006F70D2"/>
    <w:rsid w:val="006F711A"/>
    <w:rsid w:val="006F7C06"/>
    <w:rsid w:val="00701C87"/>
    <w:rsid w:val="0070632D"/>
    <w:rsid w:val="00706910"/>
    <w:rsid w:val="00706D1D"/>
    <w:rsid w:val="0070769C"/>
    <w:rsid w:val="007076D7"/>
    <w:rsid w:val="007109B1"/>
    <w:rsid w:val="00710C83"/>
    <w:rsid w:val="00712481"/>
    <w:rsid w:val="007129DA"/>
    <w:rsid w:val="00712D5D"/>
    <w:rsid w:val="007132D3"/>
    <w:rsid w:val="0071340E"/>
    <w:rsid w:val="00714D22"/>
    <w:rsid w:val="00715585"/>
    <w:rsid w:val="00716A77"/>
    <w:rsid w:val="00716EDF"/>
    <w:rsid w:val="0071736E"/>
    <w:rsid w:val="00720052"/>
    <w:rsid w:val="00721D59"/>
    <w:rsid w:val="00722BB0"/>
    <w:rsid w:val="00722F0B"/>
    <w:rsid w:val="0072413B"/>
    <w:rsid w:val="0072730A"/>
    <w:rsid w:val="00727DB3"/>
    <w:rsid w:val="00731BC7"/>
    <w:rsid w:val="0073668B"/>
    <w:rsid w:val="00736A88"/>
    <w:rsid w:val="00740945"/>
    <w:rsid w:val="00743941"/>
    <w:rsid w:val="007440EC"/>
    <w:rsid w:val="00744BF4"/>
    <w:rsid w:val="00744CBD"/>
    <w:rsid w:val="00744D61"/>
    <w:rsid w:val="00746679"/>
    <w:rsid w:val="0075027E"/>
    <w:rsid w:val="00751136"/>
    <w:rsid w:val="00757019"/>
    <w:rsid w:val="007619E2"/>
    <w:rsid w:val="00762678"/>
    <w:rsid w:val="00763B9A"/>
    <w:rsid w:val="00766726"/>
    <w:rsid w:val="0076716A"/>
    <w:rsid w:val="00770B29"/>
    <w:rsid w:val="007711D1"/>
    <w:rsid w:val="0077371D"/>
    <w:rsid w:val="00776F05"/>
    <w:rsid w:val="00777554"/>
    <w:rsid w:val="007800E4"/>
    <w:rsid w:val="007800EE"/>
    <w:rsid w:val="0078033B"/>
    <w:rsid w:val="00780743"/>
    <w:rsid w:val="00780A80"/>
    <w:rsid w:val="00781C9C"/>
    <w:rsid w:val="00781E9F"/>
    <w:rsid w:val="00782075"/>
    <w:rsid w:val="0078283C"/>
    <w:rsid w:val="00782F2C"/>
    <w:rsid w:val="00785022"/>
    <w:rsid w:val="00785707"/>
    <w:rsid w:val="00785A5A"/>
    <w:rsid w:val="0079065F"/>
    <w:rsid w:val="00791EBA"/>
    <w:rsid w:val="007935B7"/>
    <w:rsid w:val="00793B2E"/>
    <w:rsid w:val="0079524D"/>
    <w:rsid w:val="00795654"/>
    <w:rsid w:val="007A0BE6"/>
    <w:rsid w:val="007A2201"/>
    <w:rsid w:val="007A242D"/>
    <w:rsid w:val="007A3AF2"/>
    <w:rsid w:val="007A3C98"/>
    <w:rsid w:val="007A3CFF"/>
    <w:rsid w:val="007A4297"/>
    <w:rsid w:val="007A5082"/>
    <w:rsid w:val="007A5EDC"/>
    <w:rsid w:val="007A6433"/>
    <w:rsid w:val="007A6725"/>
    <w:rsid w:val="007A789D"/>
    <w:rsid w:val="007A7DEA"/>
    <w:rsid w:val="007B3111"/>
    <w:rsid w:val="007B3593"/>
    <w:rsid w:val="007B3673"/>
    <w:rsid w:val="007B43BD"/>
    <w:rsid w:val="007B5E22"/>
    <w:rsid w:val="007B6F94"/>
    <w:rsid w:val="007B75AC"/>
    <w:rsid w:val="007C2655"/>
    <w:rsid w:val="007C39F8"/>
    <w:rsid w:val="007C3C81"/>
    <w:rsid w:val="007C5614"/>
    <w:rsid w:val="007C6B79"/>
    <w:rsid w:val="007D04A5"/>
    <w:rsid w:val="007D0DF2"/>
    <w:rsid w:val="007D124C"/>
    <w:rsid w:val="007D14F9"/>
    <w:rsid w:val="007D1CFE"/>
    <w:rsid w:val="007D28E8"/>
    <w:rsid w:val="007E038C"/>
    <w:rsid w:val="007E22C1"/>
    <w:rsid w:val="007E2368"/>
    <w:rsid w:val="007E2A0B"/>
    <w:rsid w:val="007E2D04"/>
    <w:rsid w:val="007E51E3"/>
    <w:rsid w:val="007E5F52"/>
    <w:rsid w:val="007E60B4"/>
    <w:rsid w:val="007F0AED"/>
    <w:rsid w:val="007F3224"/>
    <w:rsid w:val="007F33D7"/>
    <w:rsid w:val="007F5100"/>
    <w:rsid w:val="007F638C"/>
    <w:rsid w:val="007F6866"/>
    <w:rsid w:val="00800324"/>
    <w:rsid w:val="00800D0F"/>
    <w:rsid w:val="00801851"/>
    <w:rsid w:val="0080356C"/>
    <w:rsid w:val="00806114"/>
    <w:rsid w:val="008106EE"/>
    <w:rsid w:val="00810786"/>
    <w:rsid w:val="00810BD5"/>
    <w:rsid w:val="00811A20"/>
    <w:rsid w:val="0081241C"/>
    <w:rsid w:val="0081433C"/>
    <w:rsid w:val="008148C7"/>
    <w:rsid w:val="00814F83"/>
    <w:rsid w:val="008162E5"/>
    <w:rsid w:val="00816719"/>
    <w:rsid w:val="00817084"/>
    <w:rsid w:val="008174EB"/>
    <w:rsid w:val="00817695"/>
    <w:rsid w:val="008209BA"/>
    <w:rsid w:val="00820D7A"/>
    <w:rsid w:val="00821468"/>
    <w:rsid w:val="00821F42"/>
    <w:rsid w:val="00823D06"/>
    <w:rsid w:val="00825363"/>
    <w:rsid w:val="0082601E"/>
    <w:rsid w:val="00826AC0"/>
    <w:rsid w:val="00826C8C"/>
    <w:rsid w:val="00827B2B"/>
    <w:rsid w:val="00830092"/>
    <w:rsid w:val="00830F2F"/>
    <w:rsid w:val="008323E5"/>
    <w:rsid w:val="0083301D"/>
    <w:rsid w:val="008356DA"/>
    <w:rsid w:val="00835EB1"/>
    <w:rsid w:val="00836D22"/>
    <w:rsid w:val="0083720D"/>
    <w:rsid w:val="008372A4"/>
    <w:rsid w:val="0084299A"/>
    <w:rsid w:val="00843347"/>
    <w:rsid w:val="00844B7C"/>
    <w:rsid w:val="00844ED1"/>
    <w:rsid w:val="00845367"/>
    <w:rsid w:val="00846BFA"/>
    <w:rsid w:val="00846D43"/>
    <w:rsid w:val="00851322"/>
    <w:rsid w:val="00851E61"/>
    <w:rsid w:val="00851F38"/>
    <w:rsid w:val="00852265"/>
    <w:rsid w:val="00852AB9"/>
    <w:rsid w:val="00852C50"/>
    <w:rsid w:val="0085338C"/>
    <w:rsid w:val="00853837"/>
    <w:rsid w:val="00854E17"/>
    <w:rsid w:val="00855443"/>
    <w:rsid w:val="00855F9B"/>
    <w:rsid w:val="00855FEA"/>
    <w:rsid w:val="00856911"/>
    <w:rsid w:val="00860975"/>
    <w:rsid w:val="00860DAA"/>
    <w:rsid w:val="00863FCD"/>
    <w:rsid w:val="00870031"/>
    <w:rsid w:val="00870BE3"/>
    <w:rsid w:val="00871598"/>
    <w:rsid w:val="00871853"/>
    <w:rsid w:val="00872604"/>
    <w:rsid w:val="00873023"/>
    <w:rsid w:val="0087480F"/>
    <w:rsid w:val="008771B2"/>
    <w:rsid w:val="00880FF6"/>
    <w:rsid w:val="008819D6"/>
    <w:rsid w:val="00882F46"/>
    <w:rsid w:val="00884C6E"/>
    <w:rsid w:val="00886402"/>
    <w:rsid w:val="00886CE1"/>
    <w:rsid w:val="00886D76"/>
    <w:rsid w:val="00887BF7"/>
    <w:rsid w:val="00891754"/>
    <w:rsid w:val="00891B23"/>
    <w:rsid w:val="00892902"/>
    <w:rsid w:val="008934A1"/>
    <w:rsid w:val="008935D2"/>
    <w:rsid w:val="008968FD"/>
    <w:rsid w:val="008A0D82"/>
    <w:rsid w:val="008A129D"/>
    <w:rsid w:val="008A14D3"/>
    <w:rsid w:val="008A263A"/>
    <w:rsid w:val="008A268C"/>
    <w:rsid w:val="008A2F64"/>
    <w:rsid w:val="008A31CB"/>
    <w:rsid w:val="008A3AAD"/>
    <w:rsid w:val="008A60F6"/>
    <w:rsid w:val="008A66BF"/>
    <w:rsid w:val="008A6BE1"/>
    <w:rsid w:val="008A7CF5"/>
    <w:rsid w:val="008B1D2B"/>
    <w:rsid w:val="008B24A0"/>
    <w:rsid w:val="008B2E1D"/>
    <w:rsid w:val="008B5B05"/>
    <w:rsid w:val="008B5B76"/>
    <w:rsid w:val="008B6031"/>
    <w:rsid w:val="008B67D5"/>
    <w:rsid w:val="008C0D9C"/>
    <w:rsid w:val="008C19A6"/>
    <w:rsid w:val="008C4E08"/>
    <w:rsid w:val="008C5E64"/>
    <w:rsid w:val="008C6F75"/>
    <w:rsid w:val="008C7EEB"/>
    <w:rsid w:val="008D1B50"/>
    <w:rsid w:val="008D52D0"/>
    <w:rsid w:val="008D69BD"/>
    <w:rsid w:val="008E1698"/>
    <w:rsid w:val="008E1CE7"/>
    <w:rsid w:val="008E1F27"/>
    <w:rsid w:val="008E33E0"/>
    <w:rsid w:val="008E35CD"/>
    <w:rsid w:val="008E6429"/>
    <w:rsid w:val="008E656B"/>
    <w:rsid w:val="008E6935"/>
    <w:rsid w:val="008E6F87"/>
    <w:rsid w:val="008E7ACC"/>
    <w:rsid w:val="008F0258"/>
    <w:rsid w:val="008F12CF"/>
    <w:rsid w:val="008F2003"/>
    <w:rsid w:val="008F4FFF"/>
    <w:rsid w:val="008F50E0"/>
    <w:rsid w:val="008F51D6"/>
    <w:rsid w:val="008F6145"/>
    <w:rsid w:val="008F79B3"/>
    <w:rsid w:val="008F7DA7"/>
    <w:rsid w:val="00900DC3"/>
    <w:rsid w:val="009036FC"/>
    <w:rsid w:val="00903C68"/>
    <w:rsid w:val="00903D22"/>
    <w:rsid w:val="00904678"/>
    <w:rsid w:val="009055D1"/>
    <w:rsid w:val="009068CF"/>
    <w:rsid w:val="00906B54"/>
    <w:rsid w:val="00907D44"/>
    <w:rsid w:val="00907FEB"/>
    <w:rsid w:val="0091007C"/>
    <w:rsid w:val="00910783"/>
    <w:rsid w:val="00911034"/>
    <w:rsid w:val="00911D8E"/>
    <w:rsid w:val="00912CB3"/>
    <w:rsid w:val="009136CF"/>
    <w:rsid w:val="00913D34"/>
    <w:rsid w:val="00913D4E"/>
    <w:rsid w:val="00915AFB"/>
    <w:rsid w:val="00917077"/>
    <w:rsid w:val="00921493"/>
    <w:rsid w:val="00922416"/>
    <w:rsid w:val="0092293B"/>
    <w:rsid w:val="00922AFF"/>
    <w:rsid w:val="00923802"/>
    <w:rsid w:val="00923C6B"/>
    <w:rsid w:val="00923FAD"/>
    <w:rsid w:val="009246BE"/>
    <w:rsid w:val="00924BF8"/>
    <w:rsid w:val="009257F7"/>
    <w:rsid w:val="009261E2"/>
    <w:rsid w:val="00926866"/>
    <w:rsid w:val="00927E90"/>
    <w:rsid w:val="00930A0C"/>
    <w:rsid w:val="00935C63"/>
    <w:rsid w:val="009379DC"/>
    <w:rsid w:val="00940C0A"/>
    <w:rsid w:val="009412BC"/>
    <w:rsid w:val="00941F1F"/>
    <w:rsid w:val="00942661"/>
    <w:rsid w:val="00942EA0"/>
    <w:rsid w:val="0094318A"/>
    <w:rsid w:val="00944D0E"/>
    <w:rsid w:val="009456AF"/>
    <w:rsid w:val="00947B43"/>
    <w:rsid w:val="00950E8D"/>
    <w:rsid w:val="0095244C"/>
    <w:rsid w:val="00952DD5"/>
    <w:rsid w:val="00952F86"/>
    <w:rsid w:val="0095349D"/>
    <w:rsid w:val="009549A9"/>
    <w:rsid w:val="00957694"/>
    <w:rsid w:val="00957FA1"/>
    <w:rsid w:val="0096043C"/>
    <w:rsid w:val="00962002"/>
    <w:rsid w:val="00962C1C"/>
    <w:rsid w:val="00963680"/>
    <w:rsid w:val="0096469E"/>
    <w:rsid w:val="009653A5"/>
    <w:rsid w:val="00966CD9"/>
    <w:rsid w:val="00967285"/>
    <w:rsid w:val="00970CC0"/>
    <w:rsid w:val="00972065"/>
    <w:rsid w:val="00973825"/>
    <w:rsid w:val="009752D5"/>
    <w:rsid w:val="00975A0E"/>
    <w:rsid w:val="00975CAA"/>
    <w:rsid w:val="009765A9"/>
    <w:rsid w:val="00976D9B"/>
    <w:rsid w:val="009804EA"/>
    <w:rsid w:val="00980922"/>
    <w:rsid w:val="009809EE"/>
    <w:rsid w:val="00981F3C"/>
    <w:rsid w:val="00982E6B"/>
    <w:rsid w:val="00983151"/>
    <w:rsid w:val="00984074"/>
    <w:rsid w:val="00987D17"/>
    <w:rsid w:val="00990119"/>
    <w:rsid w:val="00990669"/>
    <w:rsid w:val="0099195B"/>
    <w:rsid w:val="00991EA3"/>
    <w:rsid w:val="00992A72"/>
    <w:rsid w:val="00993A7A"/>
    <w:rsid w:val="00993D61"/>
    <w:rsid w:val="00993EC7"/>
    <w:rsid w:val="009943E6"/>
    <w:rsid w:val="00994FAD"/>
    <w:rsid w:val="009974E0"/>
    <w:rsid w:val="00997B2F"/>
    <w:rsid w:val="00997ED7"/>
    <w:rsid w:val="00997F79"/>
    <w:rsid w:val="009A10DA"/>
    <w:rsid w:val="009A1F8D"/>
    <w:rsid w:val="009A219C"/>
    <w:rsid w:val="009A2235"/>
    <w:rsid w:val="009A4742"/>
    <w:rsid w:val="009A5817"/>
    <w:rsid w:val="009A7A3F"/>
    <w:rsid w:val="009B0BD8"/>
    <w:rsid w:val="009B12CF"/>
    <w:rsid w:val="009B2269"/>
    <w:rsid w:val="009B23FE"/>
    <w:rsid w:val="009B2FF2"/>
    <w:rsid w:val="009B33BD"/>
    <w:rsid w:val="009B39B9"/>
    <w:rsid w:val="009B3A5F"/>
    <w:rsid w:val="009B3D1F"/>
    <w:rsid w:val="009B431E"/>
    <w:rsid w:val="009B467E"/>
    <w:rsid w:val="009B5E93"/>
    <w:rsid w:val="009B5ED2"/>
    <w:rsid w:val="009B78FF"/>
    <w:rsid w:val="009B7F3F"/>
    <w:rsid w:val="009C0773"/>
    <w:rsid w:val="009C08A9"/>
    <w:rsid w:val="009C2E0E"/>
    <w:rsid w:val="009C3FAF"/>
    <w:rsid w:val="009C71BB"/>
    <w:rsid w:val="009D1236"/>
    <w:rsid w:val="009D1646"/>
    <w:rsid w:val="009D1E2E"/>
    <w:rsid w:val="009D2B56"/>
    <w:rsid w:val="009D4F16"/>
    <w:rsid w:val="009D4FA1"/>
    <w:rsid w:val="009D55C0"/>
    <w:rsid w:val="009D5BC9"/>
    <w:rsid w:val="009D7233"/>
    <w:rsid w:val="009D7406"/>
    <w:rsid w:val="009D7833"/>
    <w:rsid w:val="009D7E62"/>
    <w:rsid w:val="009E093A"/>
    <w:rsid w:val="009E21F2"/>
    <w:rsid w:val="009E29E8"/>
    <w:rsid w:val="009F10C8"/>
    <w:rsid w:val="009F16FD"/>
    <w:rsid w:val="009F256C"/>
    <w:rsid w:val="009F2701"/>
    <w:rsid w:val="009F2DF1"/>
    <w:rsid w:val="009F2EAC"/>
    <w:rsid w:val="009F368D"/>
    <w:rsid w:val="009F43F5"/>
    <w:rsid w:val="009F5625"/>
    <w:rsid w:val="009F61BF"/>
    <w:rsid w:val="009F6AF6"/>
    <w:rsid w:val="009F6CBB"/>
    <w:rsid w:val="009F6F61"/>
    <w:rsid w:val="009F7CC8"/>
    <w:rsid w:val="00A00506"/>
    <w:rsid w:val="00A01280"/>
    <w:rsid w:val="00A028E1"/>
    <w:rsid w:val="00A02F4B"/>
    <w:rsid w:val="00A02FF6"/>
    <w:rsid w:val="00A04D6A"/>
    <w:rsid w:val="00A04FB3"/>
    <w:rsid w:val="00A05BA2"/>
    <w:rsid w:val="00A1028E"/>
    <w:rsid w:val="00A103D7"/>
    <w:rsid w:val="00A10E92"/>
    <w:rsid w:val="00A124D0"/>
    <w:rsid w:val="00A128B6"/>
    <w:rsid w:val="00A147A5"/>
    <w:rsid w:val="00A148F3"/>
    <w:rsid w:val="00A14EB1"/>
    <w:rsid w:val="00A15329"/>
    <w:rsid w:val="00A15B6D"/>
    <w:rsid w:val="00A16FEE"/>
    <w:rsid w:val="00A20B22"/>
    <w:rsid w:val="00A212C2"/>
    <w:rsid w:val="00A2207B"/>
    <w:rsid w:val="00A22D52"/>
    <w:rsid w:val="00A237FF"/>
    <w:rsid w:val="00A258D3"/>
    <w:rsid w:val="00A269C5"/>
    <w:rsid w:val="00A26F44"/>
    <w:rsid w:val="00A27854"/>
    <w:rsid w:val="00A30417"/>
    <w:rsid w:val="00A315F3"/>
    <w:rsid w:val="00A32529"/>
    <w:rsid w:val="00A327F5"/>
    <w:rsid w:val="00A33A77"/>
    <w:rsid w:val="00A34168"/>
    <w:rsid w:val="00A341AF"/>
    <w:rsid w:val="00A34262"/>
    <w:rsid w:val="00A34B59"/>
    <w:rsid w:val="00A34D28"/>
    <w:rsid w:val="00A37FBF"/>
    <w:rsid w:val="00A4032B"/>
    <w:rsid w:val="00A40462"/>
    <w:rsid w:val="00A405F1"/>
    <w:rsid w:val="00A415AD"/>
    <w:rsid w:val="00A420C7"/>
    <w:rsid w:val="00A433E7"/>
    <w:rsid w:val="00A45241"/>
    <w:rsid w:val="00A45BBE"/>
    <w:rsid w:val="00A45F2C"/>
    <w:rsid w:val="00A47CC7"/>
    <w:rsid w:val="00A5052B"/>
    <w:rsid w:val="00A50641"/>
    <w:rsid w:val="00A57E84"/>
    <w:rsid w:val="00A57EC0"/>
    <w:rsid w:val="00A603A6"/>
    <w:rsid w:val="00A60800"/>
    <w:rsid w:val="00A61672"/>
    <w:rsid w:val="00A616DD"/>
    <w:rsid w:val="00A61DE6"/>
    <w:rsid w:val="00A61F80"/>
    <w:rsid w:val="00A62231"/>
    <w:rsid w:val="00A625A2"/>
    <w:rsid w:val="00A63C87"/>
    <w:rsid w:val="00A6401E"/>
    <w:rsid w:val="00A6573A"/>
    <w:rsid w:val="00A659EA"/>
    <w:rsid w:val="00A65A29"/>
    <w:rsid w:val="00A66048"/>
    <w:rsid w:val="00A6609C"/>
    <w:rsid w:val="00A675A9"/>
    <w:rsid w:val="00A67F6F"/>
    <w:rsid w:val="00A71FE9"/>
    <w:rsid w:val="00A72882"/>
    <w:rsid w:val="00A73002"/>
    <w:rsid w:val="00A73E2D"/>
    <w:rsid w:val="00A76BE5"/>
    <w:rsid w:val="00A773B2"/>
    <w:rsid w:val="00A800E7"/>
    <w:rsid w:val="00A8033B"/>
    <w:rsid w:val="00A80CEB"/>
    <w:rsid w:val="00A8161C"/>
    <w:rsid w:val="00A8194C"/>
    <w:rsid w:val="00A81A45"/>
    <w:rsid w:val="00A8254F"/>
    <w:rsid w:val="00A8283E"/>
    <w:rsid w:val="00A82A95"/>
    <w:rsid w:val="00A8330C"/>
    <w:rsid w:val="00A836B2"/>
    <w:rsid w:val="00A84B35"/>
    <w:rsid w:val="00A84BD0"/>
    <w:rsid w:val="00A85A5C"/>
    <w:rsid w:val="00A87F66"/>
    <w:rsid w:val="00A90922"/>
    <w:rsid w:val="00A92307"/>
    <w:rsid w:val="00A9324B"/>
    <w:rsid w:val="00A943A6"/>
    <w:rsid w:val="00A94BFB"/>
    <w:rsid w:val="00A95127"/>
    <w:rsid w:val="00A9664D"/>
    <w:rsid w:val="00A971C9"/>
    <w:rsid w:val="00A97CC1"/>
    <w:rsid w:val="00AA0A6C"/>
    <w:rsid w:val="00AA20DB"/>
    <w:rsid w:val="00AA2506"/>
    <w:rsid w:val="00AA301C"/>
    <w:rsid w:val="00AA41F2"/>
    <w:rsid w:val="00AA4FB5"/>
    <w:rsid w:val="00AA5266"/>
    <w:rsid w:val="00AA5362"/>
    <w:rsid w:val="00AA5413"/>
    <w:rsid w:val="00AA557C"/>
    <w:rsid w:val="00AA5C0C"/>
    <w:rsid w:val="00AB041D"/>
    <w:rsid w:val="00AB1305"/>
    <w:rsid w:val="00AB285F"/>
    <w:rsid w:val="00AB34C9"/>
    <w:rsid w:val="00AB37CE"/>
    <w:rsid w:val="00AB6D22"/>
    <w:rsid w:val="00AB7494"/>
    <w:rsid w:val="00AC0AF6"/>
    <w:rsid w:val="00AC20FD"/>
    <w:rsid w:val="00AC31F2"/>
    <w:rsid w:val="00AC5364"/>
    <w:rsid w:val="00AD06BA"/>
    <w:rsid w:val="00AD0D67"/>
    <w:rsid w:val="00AD2356"/>
    <w:rsid w:val="00AD28F2"/>
    <w:rsid w:val="00AD2FAA"/>
    <w:rsid w:val="00AD357F"/>
    <w:rsid w:val="00AD3FEA"/>
    <w:rsid w:val="00AD4C82"/>
    <w:rsid w:val="00AD4FB2"/>
    <w:rsid w:val="00AD52F1"/>
    <w:rsid w:val="00AD54FC"/>
    <w:rsid w:val="00AD61F9"/>
    <w:rsid w:val="00AD76B8"/>
    <w:rsid w:val="00AD7ED7"/>
    <w:rsid w:val="00AE049D"/>
    <w:rsid w:val="00AE1E46"/>
    <w:rsid w:val="00AE1EE3"/>
    <w:rsid w:val="00AE24D7"/>
    <w:rsid w:val="00AE2A54"/>
    <w:rsid w:val="00AE3276"/>
    <w:rsid w:val="00AE40B6"/>
    <w:rsid w:val="00AE44C7"/>
    <w:rsid w:val="00AE4B53"/>
    <w:rsid w:val="00AE59F9"/>
    <w:rsid w:val="00AE5DB2"/>
    <w:rsid w:val="00AF131D"/>
    <w:rsid w:val="00AF16D1"/>
    <w:rsid w:val="00AF268B"/>
    <w:rsid w:val="00AF7B91"/>
    <w:rsid w:val="00AF7B92"/>
    <w:rsid w:val="00AF7D54"/>
    <w:rsid w:val="00B00392"/>
    <w:rsid w:val="00B00DD2"/>
    <w:rsid w:val="00B02292"/>
    <w:rsid w:val="00B03927"/>
    <w:rsid w:val="00B03CFE"/>
    <w:rsid w:val="00B049DF"/>
    <w:rsid w:val="00B05C00"/>
    <w:rsid w:val="00B05FE2"/>
    <w:rsid w:val="00B061F9"/>
    <w:rsid w:val="00B069E5"/>
    <w:rsid w:val="00B06A26"/>
    <w:rsid w:val="00B06A5E"/>
    <w:rsid w:val="00B0707E"/>
    <w:rsid w:val="00B0788B"/>
    <w:rsid w:val="00B10E4A"/>
    <w:rsid w:val="00B13176"/>
    <w:rsid w:val="00B138E3"/>
    <w:rsid w:val="00B13C2B"/>
    <w:rsid w:val="00B14185"/>
    <w:rsid w:val="00B15327"/>
    <w:rsid w:val="00B154F7"/>
    <w:rsid w:val="00B163AB"/>
    <w:rsid w:val="00B163B2"/>
    <w:rsid w:val="00B1661D"/>
    <w:rsid w:val="00B16CE6"/>
    <w:rsid w:val="00B23C41"/>
    <w:rsid w:val="00B23E01"/>
    <w:rsid w:val="00B250C0"/>
    <w:rsid w:val="00B275A3"/>
    <w:rsid w:val="00B27CDC"/>
    <w:rsid w:val="00B30EEB"/>
    <w:rsid w:val="00B328E9"/>
    <w:rsid w:val="00B32938"/>
    <w:rsid w:val="00B330CE"/>
    <w:rsid w:val="00B33899"/>
    <w:rsid w:val="00B35139"/>
    <w:rsid w:val="00B357BE"/>
    <w:rsid w:val="00B367DA"/>
    <w:rsid w:val="00B36A8D"/>
    <w:rsid w:val="00B36DF1"/>
    <w:rsid w:val="00B41418"/>
    <w:rsid w:val="00B41877"/>
    <w:rsid w:val="00B43396"/>
    <w:rsid w:val="00B43B2A"/>
    <w:rsid w:val="00B43C06"/>
    <w:rsid w:val="00B43F4E"/>
    <w:rsid w:val="00B4432B"/>
    <w:rsid w:val="00B44B82"/>
    <w:rsid w:val="00B459D5"/>
    <w:rsid w:val="00B459DE"/>
    <w:rsid w:val="00B4696C"/>
    <w:rsid w:val="00B47D7A"/>
    <w:rsid w:val="00B47DAD"/>
    <w:rsid w:val="00B51752"/>
    <w:rsid w:val="00B52DF0"/>
    <w:rsid w:val="00B53CE5"/>
    <w:rsid w:val="00B53CE8"/>
    <w:rsid w:val="00B55162"/>
    <w:rsid w:val="00B55237"/>
    <w:rsid w:val="00B5694A"/>
    <w:rsid w:val="00B56CF7"/>
    <w:rsid w:val="00B56EE1"/>
    <w:rsid w:val="00B57CFE"/>
    <w:rsid w:val="00B60ACB"/>
    <w:rsid w:val="00B6153D"/>
    <w:rsid w:val="00B61E1D"/>
    <w:rsid w:val="00B6230D"/>
    <w:rsid w:val="00B6386F"/>
    <w:rsid w:val="00B64079"/>
    <w:rsid w:val="00B642A8"/>
    <w:rsid w:val="00B6455E"/>
    <w:rsid w:val="00B66173"/>
    <w:rsid w:val="00B66EC0"/>
    <w:rsid w:val="00B6721C"/>
    <w:rsid w:val="00B673B0"/>
    <w:rsid w:val="00B67B1B"/>
    <w:rsid w:val="00B705A8"/>
    <w:rsid w:val="00B705CB"/>
    <w:rsid w:val="00B72699"/>
    <w:rsid w:val="00B72A1B"/>
    <w:rsid w:val="00B7308E"/>
    <w:rsid w:val="00B73161"/>
    <w:rsid w:val="00B73275"/>
    <w:rsid w:val="00B741CC"/>
    <w:rsid w:val="00B75753"/>
    <w:rsid w:val="00B763FA"/>
    <w:rsid w:val="00B76B10"/>
    <w:rsid w:val="00B76B85"/>
    <w:rsid w:val="00B76E37"/>
    <w:rsid w:val="00B77CE4"/>
    <w:rsid w:val="00B80A5E"/>
    <w:rsid w:val="00B821E1"/>
    <w:rsid w:val="00B8374A"/>
    <w:rsid w:val="00B83A1C"/>
    <w:rsid w:val="00B83E7D"/>
    <w:rsid w:val="00B83F79"/>
    <w:rsid w:val="00B840DA"/>
    <w:rsid w:val="00B8481A"/>
    <w:rsid w:val="00B84EF9"/>
    <w:rsid w:val="00B8559C"/>
    <w:rsid w:val="00B85EAE"/>
    <w:rsid w:val="00B86868"/>
    <w:rsid w:val="00B868EE"/>
    <w:rsid w:val="00B90C79"/>
    <w:rsid w:val="00B90F08"/>
    <w:rsid w:val="00B91EE3"/>
    <w:rsid w:val="00B92094"/>
    <w:rsid w:val="00B94961"/>
    <w:rsid w:val="00B951D4"/>
    <w:rsid w:val="00B954B6"/>
    <w:rsid w:val="00B9668F"/>
    <w:rsid w:val="00B97B50"/>
    <w:rsid w:val="00B97B98"/>
    <w:rsid w:val="00BA0E90"/>
    <w:rsid w:val="00BA113F"/>
    <w:rsid w:val="00BA409A"/>
    <w:rsid w:val="00BA566F"/>
    <w:rsid w:val="00BA5F4E"/>
    <w:rsid w:val="00BA64C3"/>
    <w:rsid w:val="00BA64EB"/>
    <w:rsid w:val="00BA680F"/>
    <w:rsid w:val="00BA70D2"/>
    <w:rsid w:val="00BA74E4"/>
    <w:rsid w:val="00BA7CCA"/>
    <w:rsid w:val="00BA7DE2"/>
    <w:rsid w:val="00BB026C"/>
    <w:rsid w:val="00BB1174"/>
    <w:rsid w:val="00BB135C"/>
    <w:rsid w:val="00BB19DF"/>
    <w:rsid w:val="00BB1E7B"/>
    <w:rsid w:val="00BB230F"/>
    <w:rsid w:val="00BB3643"/>
    <w:rsid w:val="00BB42FF"/>
    <w:rsid w:val="00BB461A"/>
    <w:rsid w:val="00BB5C8D"/>
    <w:rsid w:val="00BB60ED"/>
    <w:rsid w:val="00BB6788"/>
    <w:rsid w:val="00BC00E7"/>
    <w:rsid w:val="00BC0D06"/>
    <w:rsid w:val="00BC1425"/>
    <w:rsid w:val="00BC3894"/>
    <w:rsid w:val="00BC3D42"/>
    <w:rsid w:val="00BC48B8"/>
    <w:rsid w:val="00BC6F3A"/>
    <w:rsid w:val="00BC7602"/>
    <w:rsid w:val="00BD09B5"/>
    <w:rsid w:val="00BD0A8B"/>
    <w:rsid w:val="00BD18DF"/>
    <w:rsid w:val="00BD2BEA"/>
    <w:rsid w:val="00BD3168"/>
    <w:rsid w:val="00BD3E04"/>
    <w:rsid w:val="00BD4878"/>
    <w:rsid w:val="00BD598F"/>
    <w:rsid w:val="00BD65E3"/>
    <w:rsid w:val="00BD6C5E"/>
    <w:rsid w:val="00BD6D68"/>
    <w:rsid w:val="00BD6FF0"/>
    <w:rsid w:val="00BD7481"/>
    <w:rsid w:val="00BD797F"/>
    <w:rsid w:val="00BE37CC"/>
    <w:rsid w:val="00BE4B00"/>
    <w:rsid w:val="00BE5C05"/>
    <w:rsid w:val="00BE6C5E"/>
    <w:rsid w:val="00BE722F"/>
    <w:rsid w:val="00BE75B4"/>
    <w:rsid w:val="00BE7AA3"/>
    <w:rsid w:val="00BE7FAD"/>
    <w:rsid w:val="00BF05E4"/>
    <w:rsid w:val="00BF3AD0"/>
    <w:rsid w:val="00BF44CB"/>
    <w:rsid w:val="00BF56E7"/>
    <w:rsid w:val="00BF5753"/>
    <w:rsid w:val="00BF7535"/>
    <w:rsid w:val="00BF7579"/>
    <w:rsid w:val="00C00BB9"/>
    <w:rsid w:val="00C011C6"/>
    <w:rsid w:val="00C01D35"/>
    <w:rsid w:val="00C01F6A"/>
    <w:rsid w:val="00C02268"/>
    <w:rsid w:val="00C03B02"/>
    <w:rsid w:val="00C03E72"/>
    <w:rsid w:val="00C04CCB"/>
    <w:rsid w:val="00C04EAC"/>
    <w:rsid w:val="00C057A8"/>
    <w:rsid w:val="00C058F3"/>
    <w:rsid w:val="00C059D8"/>
    <w:rsid w:val="00C05DAA"/>
    <w:rsid w:val="00C0625D"/>
    <w:rsid w:val="00C11B93"/>
    <w:rsid w:val="00C12C09"/>
    <w:rsid w:val="00C132B7"/>
    <w:rsid w:val="00C14FAD"/>
    <w:rsid w:val="00C17C6F"/>
    <w:rsid w:val="00C204E9"/>
    <w:rsid w:val="00C21DE5"/>
    <w:rsid w:val="00C22033"/>
    <w:rsid w:val="00C228C4"/>
    <w:rsid w:val="00C2578D"/>
    <w:rsid w:val="00C25FFD"/>
    <w:rsid w:val="00C274B7"/>
    <w:rsid w:val="00C27E60"/>
    <w:rsid w:val="00C3060F"/>
    <w:rsid w:val="00C30BBF"/>
    <w:rsid w:val="00C3290B"/>
    <w:rsid w:val="00C33A17"/>
    <w:rsid w:val="00C3414F"/>
    <w:rsid w:val="00C3519B"/>
    <w:rsid w:val="00C40352"/>
    <w:rsid w:val="00C414CB"/>
    <w:rsid w:val="00C41A24"/>
    <w:rsid w:val="00C41AD6"/>
    <w:rsid w:val="00C4229F"/>
    <w:rsid w:val="00C422B9"/>
    <w:rsid w:val="00C43564"/>
    <w:rsid w:val="00C437C1"/>
    <w:rsid w:val="00C43888"/>
    <w:rsid w:val="00C44B15"/>
    <w:rsid w:val="00C476CC"/>
    <w:rsid w:val="00C50D5C"/>
    <w:rsid w:val="00C53BA4"/>
    <w:rsid w:val="00C53D31"/>
    <w:rsid w:val="00C53D87"/>
    <w:rsid w:val="00C53D96"/>
    <w:rsid w:val="00C56755"/>
    <w:rsid w:val="00C5689E"/>
    <w:rsid w:val="00C6074C"/>
    <w:rsid w:val="00C60F40"/>
    <w:rsid w:val="00C61B12"/>
    <w:rsid w:val="00C6239B"/>
    <w:rsid w:val="00C634C9"/>
    <w:rsid w:val="00C6591E"/>
    <w:rsid w:val="00C664FB"/>
    <w:rsid w:val="00C670B7"/>
    <w:rsid w:val="00C679A8"/>
    <w:rsid w:val="00C67A48"/>
    <w:rsid w:val="00C70076"/>
    <w:rsid w:val="00C702B9"/>
    <w:rsid w:val="00C72B2C"/>
    <w:rsid w:val="00C7324D"/>
    <w:rsid w:val="00C73669"/>
    <w:rsid w:val="00C752EB"/>
    <w:rsid w:val="00C75331"/>
    <w:rsid w:val="00C75D82"/>
    <w:rsid w:val="00C769B5"/>
    <w:rsid w:val="00C76E29"/>
    <w:rsid w:val="00C80371"/>
    <w:rsid w:val="00C8283B"/>
    <w:rsid w:val="00C830AC"/>
    <w:rsid w:val="00C84834"/>
    <w:rsid w:val="00C848D0"/>
    <w:rsid w:val="00C84E10"/>
    <w:rsid w:val="00C85DE0"/>
    <w:rsid w:val="00C86325"/>
    <w:rsid w:val="00C86346"/>
    <w:rsid w:val="00C87076"/>
    <w:rsid w:val="00C8731B"/>
    <w:rsid w:val="00C87BFB"/>
    <w:rsid w:val="00C87C63"/>
    <w:rsid w:val="00C87D8E"/>
    <w:rsid w:val="00C90BBF"/>
    <w:rsid w:val="00C91900"/>
    <w:rsid w:val="00C921E3"/>
    <w:rsid w:val="00C92BB3"/>
    <w:rsid w:val="00C931BE"/>
    <w:rsid w:val="00C931EF"/>
    <w:rsid w:val="00C9366C"/>
    <w:rsid w:val="00C93E1D"/>
    <w:rsid w:val="00C96B68"/>
    <w:rsid w:val="00C96F10"/>
    <w:rsid w:val="00C9758A"/>
    <w:rsid w:val="00C97616"/>
    <w:rsid w:val="00CA050E"/>
    <w:rsid w:val="00CA0630"/>
    <w:rsid w:val="00CA0C7D"/>
    <w:rsid w:val="00CA1500"/>
    <w:rsid w:val="00CA1F00"/>
    <w:rsid w:val="00CA30B5"/>
    <w:rsid w:val="00CA3888"/>
    <w:rsid w:val="00CA43FD"/>
    <w:rsid w:val="00CA4B22"/>
    <w:rsid w:val="00CA545E"/>
    <w:rsid w:val="00CA72B4"/>
    <w:rsid w:val="00CB110E"/>
    <w:rsid w:val="00CB146A"/>
    <w:rsid w:val="00CB2215"/>
    <w:rsid w:val="00CB28D8"/>
    <w:rsid w:val="00CB2F88"/>
    <w:rsid w:val="00CB378B"/>
    <w:rsid w:val="00CB3EF7"/>
    <w:rsid w:val="00CB4DF4"/>
    <w:rsid w:val="00CB4EB5"/>
    <w:rsid w:val="00CB5178"/>
    <w:rsid w:val="00CB625E"/>
    <w:rsid w:val="00CB6271"/>
    <w:rsid w:val="00CC01CD"/>
    <w:rsid w:val="00CC09D0"/>
    <w:rsid w:val="00CC0C25"/>
    <w:rsid w:val="00CC3050"/>
    <w:rsid w:val="00CC4D2A"/>
    <w:rsid w:val="00CC59D8"/>
    <w:rsid w:val="00CC6862"/>
    <w:rsid w:val="00CC7126"/>
    <w:rsid w:val="00CC7448"/>
    <w:rsid w:val="00CD0375"/>
    <w:rsid w:val="00CD1515"/>
    <w:rsid w:val="00CD178E"/>
    <w:rsid w:val="00CD1E12"/>
    <w:rsid w:val="00CD2454"/>
    <w:rsid w:val="00CD3951"/>
    <w:rsid w:val="00CD5B1A"/>
    <w:rsid w:val="00CE0017"/>
    <w:rsid w:val="00CE034B"/>
    <w:rsid w:val="00CE0973"/>
    <w:rsid w:val="00CE15ED"/>
    <w:rsid w:val="00CE2D3A"/>
    <w:rsid w:val="00CE3892"/>
    <w:rsid w:val="00CE3FA6"/>
    <w:rsid w:val="00CE4D07"/>
    <w:rsid w:val="00CE6334"/>
    <w:rsid w:val="00CE70AA"/>
    <w:rsid w:val="00CE71CB"/>
    <w:rsid w:val="00CF06E3"/>
    <w:rsid w:val="00CF16BB"/>
    <w:rsid w:val="00CF1A40"/>
    <w:rsid w:val="00CF1B01"/>
    <w:rsid w:val="00CF1C14"/>
    <w:rsid w:val="00CF1C93"/>
    <w:rsid w:val="00CF1CF8"/>
    <w:rsid w:val="00CF1E7F"/>
    <w:rsid w:val="00CF2621"/>
    <w:rsid w:val="00CF2DAF"/>
    <w:rsid w:val="00CF2E53"/>
    <w:rsid w:val="00CF2EA3"/>
    <w:rsid w:val="00CF3AD1"/>
    <w:rsid w:val="00CF42CA"/>
    <w:rsid w:val="00CF5E0B"/>
    <w:rsid w:val="00CF616D"/>
    <w:rsid w:val="00CF63FD"/>
    <w:rsid w:val="00CF74A3"/>
    <w:rsid w:val="00D00428"/>
    <w:rsid w:val="00D00F16"/>
    <w:rsid w:val="00D02051"/>
    <w:rsid w:val="00D0298C"/>
    <w:rsid w:val="00D03DEA"/>
    <w:rsid w:val="00D070DF"/>
    <w:rsid w:val="00D118F0"/>
    <w:rsid w:val="00D12848"/>
    <w:rsid w:val="00D12E28"/>
    <w:rsid w:val="00D154B6"/>
    <w:rsid w:val="00D161DB"/>
    <w:rsid w:val="00D168C4"/>
    <w:rsid w:val="00D16E3A"/>
    <w:rsid w:val="00D21FC3"/>
    <w:rsid w:val="00D23C07"/>
    <w:rsid w:val="00D251B0"/>
    <w:rsid w:val="00D25827"/>
    <w:rsid w:val="00D26D56"/>
    <w:rsid w:val="00D311A9"/>
    <w:rsid w:val="00D31A88"/>
    <w:rsid w:val="00D323E7"/>
    <w:rsid w:val="00D3304B"/>
    <w:rsid w:val="00D33BFC"/>
    <w:rsid w:val="00D3437F"/>
    <w:rsid w:val="00D34D75"/>
    <w:rsid w:val="00D34DAF"/>
    <w:rsid w:val="00D36CC6"/>
    <w:rsid w:val="00D3748E"/>
    <w:rsid w:val="00D37889"/>
    <w:rsid w:val="00D428DD"/>
    <w:rsid w:val="00D451E7"/>
    <w:rsid w:val="00D46585"/>
    <w:rsid w:val="00D468B2"/>
    <w:rsid w:val="00D46CD1"/>
    <w:rsid w:val="00D47F60"/>
    <w:rsid w:val="00D50AF0"/>
    <w:rsid w:val="00D50CD8"/>
    <w:rsid w:val="00D5199B"/>
    <w:rsid w:val="00D52286"/>
    <w:rsid w:val="00D52FBE"/>
    <w:rsid w:val="00D541D0"/>
    <w:rsid w:val="00D54DE5"/>
    <w:rsid w:val="00D56D9D"/>
    <w:rsid w:val="00D57025"/>
    <w:rsid w:val="00D57181"/>
    <w:rsid w:val="00D574C6"/>
    <w:rsid w:val="00D57603"/>
    <w:rsid w:val="00D577E9"/>
    <w:rsid w:val="00D57C8F"/>
    <w:rsid w:val="00D60052"/>
    <w:rsid w:val="00D60E1E"/>
    <w:rsid w:val="00D61554"/>
    <w:rsid w:val="00D62264"/>
    <w:rsid w:val="00D62750"/>
    <w:rsid w:val="00D62D1E"/>
    <w:rsid w:val="00D63754"/>
    <w:rsid w:val="00D63D74"/>
    <w:rsid w:val="00D649E2"/>
    <w:rsid w:val="00D64F17"/>
    <w:rsid w:val="00D67CE6"/>
    <w:rsid w:val="00D70BCF"/>
    <w:rsid w:val="00D71107"/>
    <w:rsid w:val="00D71FF9"/>
    <w:rsid w:val="00D73C80"/>
    <w:rsid w:val="00D74007"/>
    <w:rsid w:val="00D74CC2"/>
    <w:rsid w:val="00D74D1C"/>
    <w:rsid w:val="00D80E07"/>
    <w:rsid w:val="00D8237A"/>
    <w:rsid w:val="00D8276A"/>
    <w:rsid w:val="00D839DA"/>
    <w:rsid w:val="00D843E5"/>
    <w:rsid w:val="00D870A8"/>
    <w:rsid w:val="00D87B76"/>
    <w:rsid w:val="00D87D7B"/>
    <w:rsid w:val="00D9005B"/>
    <w:rsid w:val="00D907F2"/>
    <w:rsid w:val="00D90FBA"/>
    <w:rsid w:val="00D92A32"/>
    <w:rsid w:val="00D934A0"/>
    <w:rsid w:val="00D93DC4"/>
    <w:rsid w:val="00D94B77"/>
    <w:rsid w:val="00D94E95"/>
    <w:rsid w:val="00D95718"/>
    <w:rsid w:val="00D9572B"/>
    <w:rsid w:val="00D95781"/>
    <w:rsid w:val="00D96F74"/>
    <w:rsid w:val="00DA05FC"/>
    <w:rsid w:val="00DA117C"/>
    <w:rsid w:val="00DA22B7"/>
    <w:rsid w:val="00DA31C5"/>
    <w:rsid w:val="00DA5A7B"/>
    <w:rsid w:val="00DA7D77"/>
    <w:rsid w:val="00DB0E15"/>
    <w:rsid w:val="00DB269E"/>
    <w:rsid w:val="00DB3A4F"/>
    <w:rsid w:val="00DB3BB5"/>
    <w:rsid w:val="00DB4372"/>
    <w:rsid w:val="00DB513E"/>
    <w:rsid w:val="00DB6DE3"/>
    <w:rsid w:val="00DB6FEA"/>
    <w:rsid w:val="00DB78B5"/>
    <w:rsid w:val="00DC0FB3"/>
    <w:rsid w:val="00DC4EEA"/>
    <w:rsid w:val="00DC5197"/>
    <w:rsid w:val="00DC602C"/>
    <w:rsid w:val="00DC769D"/>
    <w:rsid w:val="00DD1693"/>
    <w:rsid w:val="00DD18FB"/>
    <w:rsid w:val="00DD3B0E"/>
    <w:rsid w:val="00DD675D"/>
    <w:rsid w:val="00DD67CC"/>
    <w:rsid w:val="00DD6AFA"/>
    <w:rsid w:val="00DD6B5D"/>
    <w:rsid w:val="00DD7281"/>
    <w:rsid w:val="00DD73FB"/>
    <w:rsid w:val="00DE0C99"/>
    <w:rsid w:val="00DE1C53"/>
    <w:rsid w:val="00DE2370"/>
    <w:rsid w:val="00DE2884"/>
    <w:rsid w:val="00DE2C0E"/>
    <w:rsid w:val="00DE31E9"/>
    <w:rsid w:val="00DE3507"/>
    <w:rsid w:val="00DE3A16"/>
    <w:rsid w:val="00DE5FD1"/>
    <w:rsid w:val="00DE62EE"/>
    <w:rsid w:val="00DE6FDE"/>
    <w:rsid w:val="00DF07F3"/>
    <w:rsid w:val="00DF0EEA"/>
    <w:rsid w:val="00DF29A8"/>
    <w:rsid w:val="00DF2FB3"/>
    <w:rsid w:val="00DF5872"/>
    <w:rsid w:val="00DF5F39"/>
    <w:rsid w:val="00DF6428"/>
    <w:rsid w:val="00DF64AE"/>
    <w:rsid w:val="00DF72CD"/>
    <w:rsid w:val="00DF7671"/>
    <w:rsid w:val="00E00289"/>
    <w:rsid w:val="00E00A19"/>
    <w:rsid w:val="00E01A3B"/>
    <w:rsid w:val="00E03A34"/>
    <w:rsid w:val="00E03D55"/>
    <w:rsid w:val="00E05D10"/>
    <w:rsid w:val="00E06170"/>
    <w:rsid w:val="00E064B7"/>
    <w:rsid w:val="00E07634"/>
    <w:rsid w:val="00E07F4E"/>
    <w:rsid w:val="00E10B6E"/>
    <w:rsid w:val="00E123FA"/>
    <w:rsid w:val="00E124A8"/>
    <w:rsid w:val="00E129E5"/>
    <w:rsid w:val="00E12BA2"/>
    <w:rsid w:val="00E134F7"/>
    <w:rsid w:val="00E14005"/>
    <w:rsid w:val="00E14418"/>
    <w:rsid w:val="00E1452A"/>
    <w:rsid w:val="00E15702"/>
    <w:rsid w:val="00E1647A"/>
    <w:rsid w:val="00E17A3D"/>
    <w:rsid w:val="00E2182F"/>
    <w:rsid w:val="00E21F0D"/>
    <w:rsid w:val="00E23962"/>
    <w:rsid w:val="00E24AAD"/>
    <w:rsid w:val="00E3218D"/>
    <w:rsid w:val="00E361CF"/>
    <w:rsid w:val="00E3703D"/>
    <w:rsid w:val="00E37984"/>
    <w:rsid w:val="00E37A6F"/>
    <w:rsid w:val="00E402A6"/>
    <w:rsid w:val="00E40AF4"/>
    <w:rsid w:val="00E40DE0"/>
    <w:rsid w:val="00E41979"/>
    <w:rsid w:val="00E4252E"/>
    <w:rsid w:val="00E425F7"/>
    <w:rsid w:val="00E4299B"/>
    <w:rsid w:val="00E4385D"/>
    <w:rsid w:val="00E44B33"/>
    <w:rsid w:val="00E46091"/>
    <w:rsid w:val="00E46AB7"/>
    <w:rsid w:val="00E50303"/>
    <w:rsid w:val="00E51070"/>
    <w:rsid w:val="00E51689"/>
    <w:rsid w:val="00E51A3E"/>
    <w:rsid w:val="00E51B6C"/>
    <w:rsid w:val="00E520F8"/>
    <w:rsid w:val="00E53200"/>
    <w:rsid w:val="00E535FF"/>
    <w:rsid w:val="00E541B4"/>
    <w:rsid w:val="00E54C92"/>
    <w:rsid w:val="00E553D2"/>
    <w:rsid w:val="00E557C4"/>
    <w:rsid w:val="00E562B8"/>
    <w:rsid w:val="00E57265"/>
    <w:rsid w:val="00E61857"/>
    <w:rsid w:val="00E61974"/>
    <w:rsid w:val="00E61E9B"/>
    <w:rsid w:val="00E6278D"/>
    <w:rsid w:val="00E64D54"/>
    <w:rsid w:val="00E65316"/>
    <w:rsid w:val="00E7020C"/>
    <w:rsid w:val="00E7333B"/>
    <w:rsid w:val="00E73BD5"/>
    <w:rsid w:val="00E8029C"/>
    <w:rsid w:val="00E80700"/>
    <w:rsid w:val="00E80D6A"/>
    <w:rsid w:val="00E81987"/>
    <w:rsid w:val="00E83061"/>
    <w:rsid w:val="00E83552"/>
    <w:rsid w:val="00E8386A"/>
    <w:rsid w:val="00E84395"/>
    <w:rsid w:val="00E853CA"/>
    <w:rsid w:val="00E858C2"/>
    <w:rsid w:val="00E85F87"/>
    <w:rsid w:val="00E86257"/>
    <w:rsid w:val="00E9077A"/>
    <w:rsid w:val="00E90BB9"/>
    <w:rsid w:val="00E91010"/>
    <w:rsid w:val="00E91991"/>
    <w:rsid w:val="00E91ADD"/>
    <w:rsid w:val="00E91B38"/>
    <w:rsid w:val="00E92D40"/>
    <w:rsid w:val="00E931F1"/>
    <w:rsid w:val="00E94A02"/>
    <w:rsid w:val="00E95464"/>
    <w:rsid w:val="00E95B7C"/>
    <w:rsid w:val="00E95ECC"/>
    <w:rsid w:val="00E96608"/>
    <w:rsid w:val="00E966F4"/>
    <w:rsid w:val="00EA08D9"/>
    <w:rsid w:val="00EA08F0"/>
    <w:rsid w:val="00EA0A42"/>
    <w:rsid w:val="00EA0AED"/>
    <w:rsid w:val="00EA0CB9"/>
    <w:rsid w:val="00EA1F1C"/>
    <w:rsid w:val="00EA5933"/>
    <w:rsid w:val="00EA60DA"/>
    <w:rsid w:val="00EA61A8"/>
    <w:rsid w:val="00EA6510"/>
    <w:rsid w:val="00EA6E44"/>
    <w:rsid w:val="00EA7E45"/>
    <w:rsid w:val="00EB0872"/>
    <w:rsid w:val="00EB1172"/>
    <w:rsid w:val="00EB1221"/>
    <w:rsid w:val="00EB13C2"/>
    <w:rsid w:val="00EB1462"/>
    <w:rsid w:val="00EB345B"/>
    <w:rsid w:val="00EB482B"/>
    <w:rsid w:val="00EB60F7"/>
    <w:rsid w:val="00EB625A"/>
    <w:rsid w:val="00EB79C4"/>
    <w:rsid w:val="00EB7A2F"/>
    <w:rsid w:val="00EC0185"/>
    <w:rsid w:val="00EC0E7A"/>
    <w:rsid w:val="00EC0FFF"/>
    <w:rsid w:val="00EC3EA9"/>
    <w:rsid w:val="00EC7AEB"/>
    <w:rsid w:val="00ED0CC6"/>
    <w:rsid w:val="00ED6365"/>
    <w:rsid w:val="00ED6BA8"/>
    <w:rsid w:val="00EE024A"/>
    <w:rsid w:val="00EE1AAA"/>
    <w:rsid w:val="00EE22AE"/>
    <w:rsid w:val="00EE27E5"/>
    <w:rsid w:val="00EE330F"/>
    <w:rsid w:val="00EE407E"/>
    <w:rsid w:val="00EE452C"/>
    <w:rsid w:val="00EE6CD8"/>
    <w:rsid w:val="00EE750A"/>
    <w:rsid w:val="00EE782D"/>
    <w:rsid w:val="00EF00D6"/>
    <w:rsid w:val="00EF05C1"/>
    <w:rsid w:val="00EF0F7B"/>
    <w:rsid w:val="00EF0FB8"/>
    <w:rsid w:val="00EF0FEB"/>
    <w:rsid w:val="00EF3145"/>
    <w:rsid w:val="00EF3421"/>
    <w:rsid w:val="00EF3C15"/>
    <w:rsid w:val="00EF3D26"/>
    <w:rsid w:val="00EF48DC"/>
    <w:rsid w:val="00EF5404"/>
    <w:rsid w:val="00EF6896"/>
    <w:rsid w:val="00EF6D33"/>
    <w:rsid w:val="00F00AF5"/>
    <w:rsid w:val="00F01300"/>
    <w:rsid w:val="00F01A23"/>
    <w:rsid w:val="00F030D9"/>
    <w:rsid w:val="00F0353A"/>
    <w:rsid w:val="00F03C55"/>
    <w:rsid w:val="00F07CE4"/>
    <w:rsid w:val="00F1042C"/>
    <w:rsid w:val="00F10899"/>
    <w:rsid w:val="00F10A3A"/>
    <w:rsid w:val="00F10D6A"/>
    <w:rsid w:val="00F125B8"/>
    <w:rsid w:val="00F15542"/>
    <w:rsid w:val="00F16294"/>
    <w:rsid w:val="00F169F8"/>
    <w:rsid w:val="00F16DB9"/>
    <w:rsid w:val="00F16E59"/>
    <w:rsid w:val="00F170C9"/>
    <w:rsid w:val="00F1730D"/>
    <w:rsid w:val="00F179FE"/>
    <w:rsid w:val="00F17AC0"/>
    <w:rsid w:val="00F200E8"/>
    <w:rsid w:val="00F2032F"/>
    <w:rsid w:val="00F20634"/>
    <w:rsid w:val="00F20ACE"/>
    <w:rsid w:val="00F2185A"/>
    <w:rsid w:val="00F224D0"/>
    <w:rsid w:val="00F22B62"/>
    <w:rsid w:val="00F3213A"/>
    <w:rsid w:val="00F3246F"/>
    <w:rsid w:val="00F32E93"/>
    <w:rsid w:val="00F35864"/>
    <w:rsid w:val="00F3717D"/>
    <w:rsid w:val="00F40A64"/>
    <w:rsid w:val="00F41700"/>
    <w:rsid w:val="00F42D3A"/>
    <w:rsid w:val="00F43C58"/>
    <w:rsid w:val="00F45DEA"/>
    <w:rsid w:val="00F469AC"/>
    <w:rsid w:val="00F46F53"/>
    <w:rsid w:val="00F47ED9"/>
    <w:rsid w:val="00F50F6C"/>
    <w:rsid w:val="00F51230"/>
    <w:rsid w:val="00F5310C"/>
    <w:rsid w:val="00F53469"/>
    <w:rsid w:val="00F564BF"/>
    <w:rsid w:val="00F61430"/>
    <w:rsid w:val="00F6230A"/>
    <w:rsid w:val="00F63230"/>
    <w:rsid w:val="00F66C9B"/>
    <w:rsid w:val="00F67809"/>
    <w:rsid w:val="00F70655"/>
    <w:rsid w:val="00F7157E"/>
    <w:rsid w:val="00F7224F"/>
    <w:rsid w:val="00F72A43"/>
    <w:rsid w:val="00F72E2C"/>
    <w:rsid w:val="00F74BE8"/>
    <w:rsid w:val="00F74CBE"/>
    <w:rsid w:val="00F750F4"/>
    <w:rsid w:val="00F755AD"/>
    <w:rsid w:val="00F775FF"/>
    <w:rsid w:val="00F77CE6"/>
    <w:rsid w:val="00F806B5"/>
    <w:rsid w:val="00F80FEA"/>
    <w:rsid w:val="00F830CB"/>
    <w:rsid w:val="00F8334D"/>
    <w:rsid w:val="00F834A9"/>
    <w:rsid w:val="00F83C8F"/>
    <w:rsid w:val="00F83EB1"/>
    <w:rsid w:val="00F83F02"/>
    <w:rsid w:val="00F84098"/>
    <w:rsid w:val="00F84713"/>
    <w:rsid w:val="00F847BA"/>
    <w:rsid w:val="00F852FC"/>
    <w:rsid w:val="00F8617A"/>
    <w:rsid w:val="00F86C9D"/>
    <w:rsid w:val="00F90CA0"/>
    <w:rsid w:val="00F91D5F"/>
    <w:rsid w:val="00F93161"/>
    <w:rsid w:val="00F95BBE"/>
    <w:rsid w:val="00F963D6"/>
    <w:rsid w:val="00F97032"/>
    <w:rsid w:val="00F977DD"/>
    <w:rsid w:val="00F97918"/>
    <w:rsid w:val="00F97BA3"/>
    <w:rsid w:val="00F97C6F"/>
    <w:rsid w:val="00FA04C0"/>
    <w:rsid w:val="00FA1152"/>
    <w:rsid w:val="00FA19B6"/>
    <w:rsid w:val="00FA2183"/>
    <w:rsid w:val="00FA2C59"/>
    <w:rsid w:val="00FA2F91"/>
    <w:rsid w:val="00FA4AC3"/>
    <w:rsid w:val="00FA5188"/>
    <w:rsid w:val="00FA5A24"/>
    <w:rsid w:val="00FA5C38"/>
    <w:rsid w:val="00FA5C81"/>
    <w:rsid w:val="00FA7E5B"/>
    <w:rsid w:val="00FB2011"/>
    <w:rsid w:val="00FB35A6"/>
    <w:rsid w:val="00FB5420"/>
    <w:rsid w:val="00FB571E"/>
    <w:rsid w:val="00FB6A65"/>
    <w:rsid w:val="00FB74EA"/>
    <w:rsid w:val="00FC00CC"/>
    <w:rsid w:val="00FC109D"/>
    <w:rsid w:val="00FC1156"/>
    <w:rsid w:val="00FC12D2"/>
    <w:rsid w:val="00FC19F5"/>
    <w:rsid w:val="00FC2BCA"/>
    <w:rsid w:val="00FC2D4C"/>
    <w:rsid w:val="00FC2FEA"/>
    <w:rsid w:val="00FC3B84"/>
    <w:rsid w:val="00FC61B5"/>
    <w:rsid w:val="00FD00BA"/>
    <w:rsid w:val="00FD14A3"/>
    <w:rsid w:val="00FD2CA3"/>
    <w:rsid w:val="00FD3FFC"/>
    <w:rsid w:val="00FD4BCA"/>
    <w:rsid w:val="00FD4CBD"/>
    <w:rsid w:val="00FD54A1"/>
    <w:rsid w:val="00FD5BAF"/>
    <w:rsid w:val="00FD5C78"/>
    <w:rsid w:val="00FD5F9D"/>
    <w:rsid w:val="00FE0449"/>
    <w:rsid w:val="00FE0900"/>
    <w:rsid w:val="00FE0FAD"/>
    <w:rsid w:val="00FE221F"/>
    <w:rsid w:val="00FE40BF"/>
    <w:rsid w:val="00FE414E"/>
    <w:rsid w:val="00FE45A3"/>
    <w:rsid w:val="00FE4D59"/>
    <w:rsid w:val="00FE6E84"/>
    <w:rsid w:val="00FF29EC"/>
    <w:rsid w:val="00FF2B4E"/>
    <w:rsid w:val="00FF2CAE"/>
    <w:rsid w:val="00FF3A1C"/>
    <w:rsid w:val="00FF3AE5"/>
    <w:rsid w:val="00FF3FB3"/>
    <w:rsid w:val="00FF412E"/>
    <w:rsid w:val="00FF49AE"/>
    <w:rsid w:val="00FF4CE5"/>
    <w:rsid w:val="00FF626F"/>
    <w:rsid w:val="00FF7045"/>
    <w:rsid w:val="00FF78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145473"/>
  <w15:chartTrackingRefBased/>
  <w15:docId w15:val="{76A6B3A7-440D-4BB1-8D47-773BBC816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9" w:qFormat="1"/>
    <w:lsdException w:name="heading 4" w:uiPriority="99"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0D08"/>
    <w:rPr>
      <w:color w:val="000000"/>
    </w:rPr>
  </w:style>
  <w:style w:type="paragraph" w:styleId="Heading1">
    <w:name w:val="heading 1"/>
    <w:basedOn w:val="Normal"/>
    <w:next w:val="Normal"/>
    <w:qFormat/>
    <w:rsid w:val="00AD52F1"/>
    <w:pPr>
      <w:keepNext/>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both"/>
      <w:outlineLvl w:val="0"/>
    </w:pPr>
    <w:rPr>
      <w:b/>
      <w:bCs/>
      <w:szCs w:val="24"/>
    </w:rPr>
  </w:style>
  <w:style w:type="paragraph" w:styleId="Heading2">
    <w:name w:val="heading 2"/>
    <w:basedOn w:val="Normal"/>
    <w:next w:val="Normal"/>
    <w:qFormat/>
    <w:rsid w:val="00AD52F1"/>
    <w:pPr>
      <w:keepNext/>
      <w:ind w:left="720"/>
      <w:outlineLvl w:val="1"/>
    </w:pPr>
    <w:rPr>
      <w:b/>
      <w:bCs/>
      <w:szCs w:val="24"/>
    </w:rPr>
  </w:style>
  <w:style w:type="paragraph" w:styleId="Heading3">
    <w:name w:val="heading 3"/>
    <w:basedOn w:val="Normal"/>
    <w:next w:val="Normal"/>
    <w:link w:val="Heading3Char"/>
    <w:uiPriority w:val="99"/>
    <w:qFormat/>
    <w:rsid w:val="00AD52F1"/>
    <w:pPr>
      <w:keepNext/>
      <w:jc w:val="center"/>
      <w:outlineLvl w:val="2"/>
    </w:pPr>
    <w:rPr>
      <w:b/>
      <w:bCs/>
      <w:szCs w:val="24"/>
      <w:lang w:val="en-GB"/>
    </w:rPr>
  </w:style>
  <w:style w:type="paragraph" w:styleId="Heading4">
    <w:name w:val="heading 4"/>
    <w:basedOn w:val="Normal"/>
    <w:next w:val="Normal"/>
    <w:link w:val="Heading4Char"/>
    <w:uiPriority w:val="99"/>
    <w:qFormat/>
    <w:rsid w:val="00AD52F1"/>
    <w:pPr>
      <w:keepNext/>
      <w:tabs>
        <w:tab w:val="decimal" w:pos="864"/>
      </w:tabs>
      <w:ind w:right="-72"/>
      <w:jc w:val="both"/>
      <w:outlineLvl w:val="3"/>
    </w:pPr>
    <w:rPr>
      <w:b/>
      <w:bCs/>
      <w:szCs w:val="24"/>
      <w:lang w:val="en-GB"/>
    </w:rPr>
  </w:style>
  <w:style w:type="paragraph" w:styleId="Heading5">
    <w:name w:val="heading 5"/>
    <w:basedOn w:val="Normal"/>
    <w:next w:val="Normal"/>
    <w:link w:val="Heading5Char"/>
    <w:uiPriority w:val="99"/>
    <w:qFormat/>
    <w:rsid w:val="00AD52F1"/>
    <w:pPr>
      <w:keepNext/>
      <w:jc w:val="center"/>
      <w:outlineLvl w:val="4"/>
    </w:pPr>
    <w:rPr>
      <w:b/>
      <w:bCs/>
      <w:lang w:val="en-GB"/>
    </w:rPr>
  </w:style>
  <w:style w:type="paragraph" w:styleId="Heading6">
    <w:name w:val="heading 6"/>
    <w:basedOn w:val="Normal"/>
    <w:next w:val="Normal"/>
    <w:link w:val="Heading6Char"/>
    <w:semiHidden/>
    <w:unhideWhenUsed/>
    <w:qFormat/>
    <w:rsid w:val="00E966F4"/>
    <w:pPr>
      <w:keepNext/>
      <w:keepLines/>
      <w:spacing w:before="200"/>
      <w:outlineLvl w:val="5"/>
    </w:pPr>
    <w:rPr>
      <w:rFonts w:ascii="Cambria" w:hAnsi="Cambria"/>
      <w:i/>
      <w:iCs/>
      <w:color w:val="243F60"/>
    </w:rPr>
  </w:style>
  <w:style w:type="paragraph" w:styleId="Heading8">
    <w:name w:val="heading 8"/>
    <w:basedOn w:val="Normal"/>
    <w:next w:val="Normal"/>
    <w:link w:val="Heading8Char"/>
    <w:semiHidden/>
    <w:unhideWhenUsed/>
    <w:qFormat/>
    <w:rsid w:val="00E966F4"/>
    <w:pPr>
      <w:keepNext/>
      <w:keepLines/>
      <w:spacing w:before="200"/>
      <w:outlineLvl w:val="7"/>
    </w:pPr>
    <w:rPr>
      <w:rFonts w:ascii="Cambria" w:hAnsi="Cambria"/>
      <w:color w:val="40404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AD52F1"/>
    <w:pPr>
      <w:ind w:left="360"/>
      <w:jc w:val="both"/>
    </w:pPr>
    <w:rPr>
      <w:rFonts w:eastAsia="Cordia New"/>
      <w:szCs w:val="24"/>
    </w:rPr>
  </w:style>
  <w:style w:type="paragraph" w:styleId="Header">
    <w:name w:val="header"/>
    <w:basedOn w:val="Normal"/>
    <w:link w:val="HeaderChar"/>
    <w:uiPriority w:val="99"/>
    <w:rsid w:val="00AD52F1"/>
    <w:pPr>
      <w:tabs>
        <w:tab w:val="center" w:pos="4153"/>
        <w:tab w:val="right" w:pos="8306"/>
      </w:tabs>
    </w:pPr>
  </w:style>
  <w:style w:type="paragraph" w:styleId="Footer">
    <w:name w:val="footer"/>
    <w:basedOn w:val="Normal"/>
    <w:rsid w:val="00AD52F1"/>
    <w:pPr>
      <w:tabs>
        <w:tab w:val="center" w:pos="4153"/>
        <w:tab w:val="right" w:pos="8306"/>
      </w:tabs>
    </w:pPr>
  </w:style>
  <w:style w:type="character" w:styleId="PageNumber">
    <w:name w:val="page number"/>
    <w:basedOn w:val="DefaultParagraphFont"/>
    <w:rsid w:val="00AD52F1"/>
  </w:style>
  <w:style w:type="paragraph" w:styleId="BodyText">
    <w:name w:val="Body Text"/>
    <w:basedOn w:val="Normal"/>
    <w:rsid w:val="00AD52F1"/>
    <w:pPr>
      <w:tabs>
        <w:tab w:val="left" w:pos="360"/>
      </w:tabs>
    </w:pPr>
    <w:rPr>
      <w:b/>
      <w:bCs/>
    </w:rPr>
  </w:style>
  <w:style w:type="paragraph" w:styleId="BodyTextIndent2">
    <w:name w:val="Body Text Indent 2"/>
    <w:basedOn w:val="Normal"/>
    <w:rsid w:val="00AD52F1"/>
    <w:pPr>
      <w:ind w:left="360"/>
    </w:pPr>
    <w:rPr>
      <w:szCs w:val="24"/>
      <w:lang w:val="en-GB"/>
    </w:rPr>
  </w:style>
  <w:style w:type="paragraph" w:styleId="BodyTextIndent3">
    <w:name w:val="Body Text Indent 3"/>
    <w:basedOn w:val="Normal"/>
    <w:rsid w:val="00AD52F1"/>
    <w:pPr>
      <w:ind w:left="720"/>
    </w:pPr>
    <w:rPr>
      <w:szCs w:val="24"/>
      <w:lang w:val="en-GB"/>
    </w:rPr>
  </w:style>
  <w:style w:type="paragraph" w:styleId="BodyText2">
    <w:name w:val="Body Text 2"/>
    <w:basedOn w:val="Normal"/>
    <w:rsid w:val="00AD52F1"/>
    <w:pPr>
      <w:ind w:right="-622"/>
      <w:jc w:val="both"/>
    </w:pPr>
    <w:rPr>
      <w:szCs w:val="24"/>
    </w:rPr>
  </w:style>
  <w:style w:type="paragraph" w:styleId="BlockText">
    <w:name w:val="Block Text"/>
    <w:basedOn w:val="Normal"/>
    <w:rsid w:val="00AD52F1"/>
    <w:pPr>
      <w:ind w:left="360" w:right="-622"/>
      <w:jc w:val="thaiDistribute"/>
    </w:pPr>
    <w:rPr>
      <w:szCs w:val="24"/>
      <w:lang w:val="en-GB"/>
    </w:rPr>
  </w:style>
  <w:style w:type="paragraph" w:styleId="BalloonText">
    <w:name w:val="Balloon Text"/>
    <w:basedOn w:val="Normal"/>
    <w:semiHidden/>
    <w:rsid w:val="00AD52F1"/>
    <w:rPr>
      <w:rFonts w:ascii="Tahoma" w:hAnsi="Tahoma"/>
      <w:sz w:val="16"/>
      <w:szCs w:val="18"/>
    </w:rPr>
  </w:style>
  <w:style w:type="paragraph" w:customStyle="1" w:styleId="a">
    <w:name w:val="à¹×éÍàÃ×èÍ§"/>
    <w:basedOn w:val="Normal"/>
    <w:rsid w:val="00AD52F1"/>
    <w:pPr>
      <w:ind w:right="386"/>
    </w:pPr>
    <w:rPr>
      <w:rFonts w:cs="Cordia New"/>
      <w:sz w:val="28"/>
      <w:lang w:val="th-TH"/>
    </w:rPr>
  </w:style>
  <w:style w:type="paragraph" w:customStyle="1" w:styleId="a0">
    <w:name w:val="เนื้อเรื่อง"/>
    <w:uiPriority w:val="99"/>
    <w:rsid w:val="00AD52F1"/>
    <w:pPr>
      <w:ind w:right="386"/>
    </w:pPr>
    <w:rPr>
      <w:rFonts w:eastAsia="Cordia New"/>
      <w:color w:val="000000"/>
      <w:sz w:val="28"/>
      <w:szCs w:val="28"/>
      <w:lang w:eastAsia="th-TH"/>
    </w:rPr>
  </w:style>
  <w:style w:type="character" w:styleId="CommentReference">
    <w:name w:val="annotation reference"/>
    <w:uiPriority w:val="99"/>
    <w:semiHidden/>
    <w:rsid w:val="00EE1AAA"/>
    <w:rPr>
      <w:rFonts w:ascii="Arial" w:hAnsi="Arial"/>
      <w:sz w:val="16"/>
      <w:szCs w:val="16"/>
    </w:rPr>
  </w:style>
  <w:style w:type="paragraph" w:styleId="HTMLPreformatted">
    <w:name w:val="HTML Preformatted"/>
    <w:basedOn w:val="Normal"/>
    <w:rsid w:val="00100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rPr>
  </w:style>
  <w:style w:type="paragraph" w:styleId="ListParagraph">
    <w:name w:val="List Paragraph"/>
    <w:basedOn w:val="Normal"/>
    <w:uiPriority w:val="34"/>
    <w:qFormat/>
    <w:rsid w:val="00DF64AE"/>
    <w:pPr>
      <w:ind w:left="720"/>
      <w:contextualSpacing/>
    </w:pPr>
  </w:style>
  <w:style w:type="character" w:customStyle="1" w:styleId="Heading6Char">
    <w:name w:val="Heading 6 Char"/>
    <w:link w:val="Heading6"/>
    <w:semiHidden/>
    <w:rsid w:val="00E966F4"/>
    <w:rPr>
      <w:rFonts w:ascii="Cambria" w:eastAsia="Times New Roman" w:hAnsi="Cambria" w:cs="Angsana New"/>
      <w:i/>
      <w:iCs/>
      <w:color w:val="243F60"/>
      <w:sz w:val="24"/>
      <w:szCs w:val="28"/>
    </w:rPr>
  </w:style>
  <w:style w:type="character" w:customStyle="1" w:styleId="Heading8Char">
    <w:name w:val="Heading 8 Char"/>
    <w:link w:val="Heading8"/>
    <w:semiHidden/>
    <w:rsid w:val="00E966F4"/>
    <w:rPr>
      <w:rFonts w:ascii="Cambria" w:eastAsia="Times New Roman" w:hAnsi="Cambria" w:cs="Angsana New"/>
      <w:color w:val="404040"/>
      <w:szCs w:val="25"/>
    </w:rPr>
  </w:style>
  <w:style w:type="character" w:customStyle="1" w:styleId="HeaderChar">
    <w:name w:val="Header Char"/>
    <w:link w:val="Header"/>
    <w:uiPriority w:val="99"/>
    <w:rsid w:val="00E966F4"/>
    <w:rPr>
      <w:sz w:val="24"/>
      <w:szCs w:val="28"/>
    </w:rPr>
  </w:style>
  <w:style w:type="character" w:customStyle="1" w:styleId="BodyTextIndentChar">
    <w:name w:val="Body Text Indent Char"/>
    <w:link w:val="BodyTextIndent"/>
    <w:rsid w:val="00630067"/>
    <w:rPr>
      <w:rFonts w:eastAsia="Cordia New"/>
      <w:sz w:val="24"/>
      <w:szCs w:val="24"/>
    </w:rPr>
  </w:style>
  <w:style w:type="character" w:customStyle="1" w:styleId="Heading3Char">
    <w:name w:val="Heading 3 Char"/>
    <w:link w:val="Heading3"/>
    <w:uiPriority w:val="99"/>
    <w:rsid w:val="006B536B"/>
    <w:rPr>
      <w:b/>
      <w:bCs/>
      <w:sz w:val="24"/>
      <w:szCs w:val="24"/>
      <w:lang w:val="en-GB"/>
    </w:rPr>
  </w:style>
  <w:style w:type="character" w:customStyle="1" w:styleId="Heading4Char">
    <w:name w:val="Heading 4 Char"/>
    <w:link w:val="Heading4"/>
    <w:uiPriority w:val="99"/>
    <w:rsid w:val="006B536B"/>
    <w:rPr>
      <w:b/>
      <w:bCs/>
      <w:sz w:val="24"/>
      <w:szCs w:val="24"/>
      <w:lang w:val="en-GB"/>
    </w:rPr>
  </w:style>
  <w:style w:type="character" w:customStyle="1" w:styleId="Heading5Char">
    <w:name w:val="Heading 5 Char"/>
    <w:link w:val="Heading5"/>
    <w:uiPriority w:val="99"/>
    <w:rsid w:val="006B536B"/>
    <w:rPr>
      <w:b/>
      <w:bCs/>
      <w:lang w:val="en-GB"/>
    </w:rPr>
  </w:style>
  <w:style w:type="table" w:styleId="TableGrid">
    <w:name w:val="Table Grid"/>
    <w:basedOn w:val="TableNormal"/>
    <w:uiPriority w:val="59"/>
    <w:rsid w:val="00447AF5"/>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A433E7"/>
    <w:rPr>
      <w:rFonts w:cs="Cordia New"/>
      <w:szCs w:val="25"/>
    </w:rPr>
  </w:style>
  <w:style w:type="character" w:customStyle="1" w:styleId="CommentTextChar">
    <w:name w:val="Comment Text Char"/>
    <w:link w:val="CommentText"/>
    <w:uiPriority w:val="99"/>
    <w:rsid w:val="00A433E7"/>
    <w:rPr>
      <w:rFonts w:cs="Cordia New"/>
      <w:color w:val="000000"/>
      <w:szCs w:val="25"/>
    </w:rPr>
  </w:style>
  <w:style w:type="paragraph" w:styleId="CommentSubject">
    <w:name w:val="annotation subject"/>
    <w:basedOn w:val="CommentText"/>
    <w:next w:val="CommentText"/>
    <w:link w:val="CommentSubjectChar"/>
    <w:rsid w:val="00A433E7"/>
    <w:rPr>
      <w:b/>
      <w:bCs/>
    </w:rPr>
  </w:style>
  <w:style w:type="character" w:customStyle="1" w:styleId="CommentSubjectChar">
    <w:name w:val="Comment Subject Char"/>
    <w:link w:val="CommentSubject"/>
    <w:rsid w:val="00A433E7"/>
    <w:rPr>
      <w:rFonts w:cs="Cordia New"/>
      <w:b/>
      <w:bCs/>
      <w:color w:val="000000"/>
      <w:szCs w:val="25"/>
    </w:rPr>
  </w:style>
  <w:style w:type="paragraph" w:customStyle="1" w:styleId="Default">
    <w:name w:val="Default"/>
    <w:rsid w:val="00CC4D2A"/>
    <w:pPr>
      <w:autoSpaceDE w:val="0"/>
      <w:autoSpaceDN w:val="0"/>
      <w:adjustRightInd w:val="0"/>
    </w:pPr>
    <w:rPr>
      <w:rFonts w:eastAsia="Calibri"/>
      <w:color w:val="000000"/>
      <w:sz w:val="24"/>
      <w:szCs w:val="24"/>
      <w:lang w:val="en-GB"/>
    </w:rPr>
  </w:style>
  <w:style w:type="character" w:styleId="Hyperlink">
    <w:name w:val="Hyperlink"/>
    <w:rsid w:val="00DB6FEA"/>
    <w:rPr>
      <w:color w:val="0000FF"/>
      <w:u w:val="single"/>
    </w:rPr>
  </w:style>
  <w:style w:type="table" w:customStyle="1" w:styleId="PwCTableText">
    <w:name w:val="PwC Table Text"/>
    <w:basedOn w:val="TableNormal"/>
    <w:uiPriority w:val="99"/>
    <w:qFormat/>
    <w:rsid w:val="00DB6FEA"/>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character" w:styleId="Emphasis">
    <w:name w:val="Emphasis"/>
    <w:qFormat/>
    <w:rsid w:val="00743941"/>
    <w:rPr>
      <w:i/>
      <w:iCs/>
    </w:rPr>
  </w:style>
  <w:style w:type="character" w:styleId="Strong">
    <w:name w:val="Strong"/>
    <w:qFormat/>
    <w:rsid w:val="00743941"/>
    <w:rPr>
      <w:b/>
      <w:bCs/>
    </w:rPr>
  </w:style>
  <w:style w:type="paragraph" w:styleId="NoSpacing">
    <w:name w:val="No Spacing"/>
    <w:uiPriority w:val="1"/>
    <w:qFormat/>
    <w:rsid w:val="00BE7FAD"/>
    <w:rPr>
      <w:rFonts w:ascii="Ink Free" w:eastAsia="Ink Free" w:hAnsi="Ink Free" w:cs="Ink Free"/>
      <w:color w:val="00B05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915222">
      <w:bodyDiv w:val="1"/>
      <w:marLeft w:val="0"/>
      <w:marRight w:val="0"/>
      <w:marTop w:val="0"/>
      <w:marBottom w:val="0"/>
      <w:divBdr>
        <w:top w:val="none" w:sz="0" w:space="0" w:color="auto"/>
        <w:left w:val="none" w:sz="0" w:space="0" w:color="auto"/>
        <w:bottom w:val="none" w:sz="0" w:space="0" w:color="auto"/>
        <w:right w:val="none" w:sz="0" w:space="0" w:color="auto"/>
      </w:divBdr>
    </w:div>
    <w:div w:id="174080270">
      <w:bodyDiv w:val="1"/>
      <w:marLeft w:val="0"/>
      <w:marRight w:val="0"/>
      <w:marTop w:val="0"/>
      <w:marBottom w:val="0"/>
      <w:divBdr>
        <w:top w:val="none" w:sz="0" w:space="0" w:color="auto"/>
        <w:left w:val="none" w:sz="0" w:space="0" w:color="auto"/>
        <w:bottom w:val="none" w:sz="0" w:space="0" w:color="auto"/>
        <w:right w:val="none" w:sz="0" w:space="0" w:color="auto"/>
      </w:divBdr>
    </w:div>
    <w:div w:id="364527593">
      <w:bodyDiv w:val="1"/>
      <w:marLeft w:val="0"/>
      <w:marRight w:val="0"/>
      <w:marTop w:val="0"/>
      <w:marBottom w:val="0"/>
      <w:divBdr>
        <w:top w:val="none" w:sz="0" w:space="0" w:color="auto"/>
        <w:left w:val="none" w:sz="0" w:space="0" w:color="auto"/>
        <w:bottom w:val="none" w:sz="0" w:space="0" w:color="auto"/>
        <w:right w:val="none" w:sz="0" w:space="0" w:color="auto"/>
      </w:divBdr>
    </w:div>
    <w:div w:id="390232548">
      <w:bodyDiv w:val="1"/>
      <w:marLeft w:val="0"/>
      <w:marRight w:val="0"/>
      <w:marTop w:val="0"/>
      <w:marBottom w:val="0"/>
      <w:divBdr>
        <w:top w:val="none" w:sz="0" w:space="0" w:color="auto"/>
        <w:left w:val="none" w:sz="0" w:space="0" w:color="auto"/>
        <w:bottom w:val="none" w:sz="0" w:space="0" w:color="auto"/>
        <w:right w:val="none" w:sz="0" w:space="0" w:color="auto"/>
      </w:divBdr>
    </w:div>
    <w:div w:id="534972715">
      <w:bodyDiv w:val="1"/>
      <w:marLeft w:val="0"/>
      <w:marRight w:val="0"/>
      <w:marTop w:val="0"/>
      <w:marBottom w:val="0"/>
      <w:divBdr>
        <w:top w:val="none" w:sz="0" w:space="0" w:color="auto"/>
        <w:left w:val="none" w:sz="0" w:space="0" w:color="auto"/>
        <w:bottom w:val="none" w:sz="0" w:space="0" w:color="auto"/>
        <w:right w:val="none" w:sz="0" w:space="0" w:color="auto"/>
      </w:divBdr>
    </w:div>
    <w:div w:id="555623828">
      <w:bodyDiv w:val="1"/>
      <w:marLeft w:val="0"/>
      <w:marRight w:val="0"/>
      <w:marTop w:val="0"/>
      <w:marBottom w:val="0"/>
      <w:divBdr>
        <w:top w:val="none" w:sz="0" w:space="0" w:color="auto"/>
        <w:left w:val="none" w:sz="0" w:space="0" w:color="auto"/>
        <w:bottom w:val="none" w:sz="0" w:space="0" w:color="auto"/>
        <w:right w:val="none" w:sz="0" w:space="0" w:color="auto"/>
      </w:divBdr>
      <w:divsChild>
        <w:div w:id="392236771">
          <w:marLeft w:val="0"/>
          <w:marRight w:val="0"/>
          <w:marTop w:val="0"/>
          <w:marBottom w:val="0"/>
          <w:divBdr>
            <w:top w:val="none" w:sz="0" w:space="0" w:color="auto"/>
            <w:left w:val="none" w:sz="0" w:space="0" w:color="auto"/>
            <w:bottom w:val="none" w:sz="0" w:space="0" w:color="auto"/>
            <w:right w:val="none" w:sz="0" w:space="0" w:color="auto"/>
          </w:divBdr>
        </w:div>
      </w:divsChild>
    </w:div>
    <w:div w:id="588079553">
      <w:bodyDiv w:val="1"/>
      <w:marLeft w:val="0"/>
      <w:marRight w:val="0"/>
      <w:marTop w:val="0"/>
      <w:marBottom w:val="0"/>
      <w:divBdr>
        <w:top w:val="none" w:sz="0" w:space="0" w:color="auto"/>
        <w:left w:val="none" w:sz="0" w:space="0" w:color="auto"/>
        <w:bottom w:val="none" w:sz="0" w:space="0" w:color="auto"/>
        <w:right w:val="none" w:sz="0" w:space="0" w:color="auto"/>
      </w:divBdr>
    </w:div>
    <w:div w:id="869804827">
      <w:bodyDiv w:val="1"/>
      <w:marLeft w:val="0"/>
      <w:marRight w:val="0"/>
      <w:marTop w:val="0"/>
      <w:marBottom w:val="0"/>
      <w:divBdr>
        <w:top w:val="none" w:sz="0" w:space="0" w:color="auto"/>
        <w:left w:val="none" w:sz="0" w:space="0" w:color="auto"/>
        <w:bottom w:val="none" w:sz="0" w:space="0" w:color="auto"/>
        <w:right w:val="none" w:sz="0" w:space="0" w:color="auto"/>
      </w:divBdr>
    </w:div>
    <w:div w:id="959989567">
      <w:bodyDiv w:val="1"/>
      <w:marLeft w:val="0"/>
      <w:marRight w:val="0"/>
      <w:marTop w:val="0"/>
      <w:marBottom w:val="0"/>
      <w:divBdr>
        <w:top w:val="none" w:sz="0" w:space="0" w:color="auto"/>
        <w:left w:val="none" w:sz="0" w:space="0" w:color="auto"/>
        <w:bottom w:val="none" w:sz="0" w:space="0" w:color="auto"/>
        <w:right w:val="none" w:sz="0" w:space="0" w:color="auto"/>
      </w:divBdr>
    </w:div>
    <w:div w:id="1010450863">
      <w:bodyDiv w:val="1"/>
      <w:marLeft w:val="0"/>
      <w:marRight w:val="0"/>
      <w:marTop w:val="0"/>
      <w:marBottom w:val="0"/>
      <w:divBdr>
        <w:top w:val="none" w:sz="0" w:space="0" w:color="auto"/>
        <w:left w:val="none" w:sz="0" w:space="0" w:color="auto"/>
        <w:bottom w:val="none" w:sz="0" w:space="0" w:color="auto"/>
        <w:right w:val="none" w:sz="0" w:space="0" w:color="auto"/>
      </w:divBdr>
    </w:div>
    <w:div w:id="1296984099">
      <w:bodyDiv w:val="1"/>
      <w:marLeft w:val="0"/>
      <w:marRight w:val="0"/>
      <w:marTop w:val="0"/>
      <w:marBottom w:val="0"/>
      <w:divBdr>
        <w:top w:val="none" w:sz="0" w:space="0" w:color="auto"/>
        <w:left w:val="none" w:sz="0" w:space="0" w:color="auto"/>
        <w:bottom w:val="none" w:sz="0" w:space="0" w:color="auto"/>
        <w:right w:val="none" w:sz="0" w:space="0" w:color="auto"/>
      </w:divBdr>
    </w:div>
    <w:div w:id="1369180783">
      <w:bodyDiv w:val="1"/>
      <w:marLeft w:val="0"/>
      <w:marRight w:val="0"/>
      <w:marTop w:val="0"/>
      <w:marBottom w:val="0"/>
      <w:divBdr>
        <w:top w:val="none" w:sz="0" w:space="0" w:color="auto"/>
        <w:left w:val="none" w:sz="0" w:space="0" w:color="auto"/>
        <w:bottom w:val="none" w:sz="0" w:space="0" w:color="auto"/>
        <w:right w:val="none" w:sz="0" w:space="0" w:color="auto"/>
      </w:divBdr>
      <w:divsChild>
        <w:div w:id="2064669644">
          <w:marLeft w:val="0"/>
          <w:marRight w:val="0"/>
          <w:marTop w:val="0"/>
          <w:marBottom w:val="0"/>
          <w:divBdr>
            <w:top w:val="none" w:sz="0" w:space="0" w:color="auto"/>
            <w:left w:val="none" w:sz="0" w:space="0" w:color="auto"/>
            <w:bottom w:val="none" w:sz="0" w:space="0" w:color="auto"/>
            <w:right w:val="none" w:sz="0" w:space="0" w:color="auto"/>
          </w:divBdr>
        </w:div>
      </w:divsChild>
    </w:div>
    <w:div w:id="1445350089">
      <w:bodyDiv w:val="1"/>
      <w:marLeft w:val="0"/>
      <w:marRight w:val="0"/>
      <w:marTop w:val="0"/>
      <w:marBottom w:val="0"/>
      <w:divBdr>
        <w:top w:val="none" w:sz="0" w:space="0" w:color="auto"/>
        <w:left w:val="none" w:sz="0" w:space="0" w:color="auto"/>
        <w:bottom w:val="none" w:sz="0" w:space="0" w:color="auto"/>
        <w:right w:val="none" w:sz="0" w:space="0" w:color="auto"/>
      </w:divBdr>
    </w:div>
    <w:div w:id="208136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FC691-A3E0-4821-B0E7-8E0019DCE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960</TotalTime>
  <Pages>11</Pages>
  <Words>4047</Words>
  <Characters>23074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AUDITOR’S REPORT</vt:lpstr>
    </vt:vector>
  </TitlesOfParts>
  <Company>PriceWaterHouseCoopers</Company>
  <LinksUpToDate>false</LinksUpToDate>
  <CharactersWithSpaces>27067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PwC User</dc:creator>
  <cp:keywords/>
  <cp:lastModifiedBy>Pinanong Ruthaiwat (TH)</cp:lastModifiedBy>
  <cp:revision>177</cp:revision>
  <cp:lastPrinted>2024-02-21T01:46:00Z</cp:lastPrinted>
  <dcterms:created xsi:type="dcterms:W3CDTF">2023-12-26T03:51:00Z</dcterms:created>
  <dcterms:modified xsi:type="dcterms:W3CDTF">2026-02-20T06:53:00Z</dcterms:modified>
</cp:coreProperties>
</file>