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7A1D5" w14:textId="77777777" w:rsidR="00347BC2" w:rsidRPr="00551B34" w:rsidRDefault="00347BC2" w:rsidP="00101068">
      <w:pPr>
        <w:tabs>
          <w:tab w:val="right" w:pos="7200"/>
          <w:tab w:val="right" w:pos="8540"/>
        </w:tabs>
        <w:spacing w:line="380" w:lineRule="exact"/>
        <w:rPr>
          <w:rFonts w:ascii="Arial" w:eastAsia="Arial Unicode MS" w:hAnsi="Arial" w:cs="Arial"/>
          <w:b/>
          <w:bCs/>
          <w:sz w:val="22"/>
          <w:szCs w:val="22"/>
          <w:cs/>
        </w:rPr>
      </w:pPr>
      <w:proofErr w:type="spellStart"/>
      <w:r w:rsidRPr="00551B34">
        <w:rPr>
          <w:rFonts w:ascii="Arial" w:eastAsia="Arial Unicode MS" w:hAnsi="Arial" w:cs="Arial"/>
          <w:b/>
          <w:bCs/>
          <w:sz w:val="22"/>
          <w:szCs w:val="22"/>
        </w:rPr>
        <w:t>Bhiraj</w:t>
      </w:r>
      <w:proofErr w:type="spellEnd"/>
      <w:r w:rsidRPr="00551B34">
        <w:rPr>
          <w:rFonts w:ascii="Arial" w:eastAsia="Arial Unicode MS" w:hAnsi="Arial" w:cs="Arial"/>
          <w:b/>
          <w:bCs/>
          <w:sz w:val="22"/>
          <w:szCs w:val="22"/>
        </w:rPr>
        <w:t xml:space="preserve"> Office Leaseho</w:t>
      </w:r>
      <w:r w:rsidR="00D703EF" w:rsidRPr="00551B34">
        <w:rPr>
          <w:rFonts w:ascii="Arial" w:eastAsia="Arial Unicode MS" w:hAnsi="Arial" w:cs="Arial"/>
          <w:b/>
          <w:bCs/>
          <w:sz w:val="22"/>
          <w:szCs w:val="22"/>
        </w:rPr>
        <w:t>ld Real Estate Investment Trust</w:t>
      </w:r>
    </w:p>
    <w:p w14:paraId="6A1841C4" w14:textId="77777777" w:rsidR="005A0349" w:rsidRPr="00551B34" w:rsidRDefault="005A0349" w:rsidP="005A0349">
      <w:pPr>
        <w:tabs>
          <w:tab w:val="right" w:pos="7200"/>
          <w:tab w:val="right" w:pos="8540"/>
        </w:tabs>
        <w:spacing w:line="380" w:lineRule="exact"/>
        <w:rPr>
          <w:rFonts w:ascii="Arial" w:eastAsia="Arial Unicode MS" w:hAnsi="Arial" w:cs="Arial"/>
          <w:b/>
          <w:bCs/>
          <w:sz w:val="22"/>
          <w:szCs w:val="22"/>
        </w:rPr>
      </w:pPr>
      <w:r w:rsidRPr="00551B34">
        <w:rPr>
          <w:rFonts w:ascii="Arial" w:eastAsia="Arial Unicode MS" w:hAnsi="Arial" w:cs="Arial"/>
          <w:b/>
          <w:bCs/>
          <w:sz w:val="22"/>
          <w:szCs w:val="22"/>
        </w:rPr>
        <w:t>Notes to interim financial statements</w:t>
      </w:r>
    </w:p>
    <w:p w14:paraId="3F9FF0CB" w14:textId="4AEDE06E" w:rsidR="00347BC2" w:rsidRPr="00551B34" w:rsidRDefault="002A1BB8" w:rsidP="00407480">
      <w:pPr>
        <w:tabs>
          <w:tab w:val="right" w:pos="7200"/>
          <w:tab w:val="right" w:pos="8540"/>
        </w:tabs>
        <w:spacing w:after="360" w:line="380" w:lineRule="exact"/>
        <w:rPr>
          <w:rFonts w:ascii="Arial" w:eastAsia="Arial Unicode MS" w:hAnsi="Arial" w:cs="Arial"/>
          <w:b/>
          <w:bCs/>
          <w:sz w:val="22"/>
          <w:szCs w:val="22"/>
        </w:rPr>
      </w:pPr>
      <w:r w:rsidRPr="00551B34">
        <w:rPr>
          <w:rFonts w:ascii="Arial" w:eastAsia="Arial Unicode MS" w:hAnsi="Arial" w:cs="Arial"/>
          <w:b/>
          <w:bCs/>
          <w:sz w:val="22"/>
          <w:szCs w:val="22"/>
        </w:rPr>
        <w:t xml:space="preserve">For the </w:t>
      </w:r>
      <w:r w:rsidR="005A0349" w:rsidRPr="00551B34">
        <w:rPr>
          <w:rFonts w:ascii="Arial" w:eastAsia="Arial Unicode MS" w:hAnsi="Arial" w:cs="Arial"/>
          <w:b/>
          <w:bCs/>
          <w:sz w:val="22"/>
          <w:szCs w:val="22"/>
        </w:rPr>
        <w:t xml:space="preserve">three-month period ended </w:t>
      </w:r>
      <w:r w:rsidR="00CA7822" w:rsidRPr="00551B34">
        <w:rPr>
          <w:rFonts w:ascii="Arial" w:eastAsia="Arial Unicode MS" w:hAnsi="Arial" w:cs="Arial"/>
          <w:b/>
          <w:bCs/>
          <w:sz w:val="22"/>
          <w:szCs w:val="22"/>
        </w:rPr>
        <w:t>31 March 202</w:t>
      </w:r>
      <w:r w:rsidR="008131AC" w:rsidRPr="00551B34">
        <w:rPr>
          <w:rFonts w:ascii="Arial" w:eastAsia="Arial Unicode MS" w:hAnsi="Arial" w:cs="Arial"/>
          <w:b/>
          <w:bCs/>
          <w:sz w:val="22"/>
          <w:szCs w:val="22"/>
        </w:rPr>
        <w:t>5</w:t>
      </w:r>
    </w:p>
    <w:p w14:paraId="75E5677F" w14:textId="77777777" w:rsidR="008E05AB" w:rsidRPr="00551B34" w:rsidRDefault="008E05AB" w:rsidP="00F7585E">
      <w:pPr>
        <w:pStyle w:val="ListParagraph"/>
        <w:numPr>
          <w:ilvl w:val="0"/>
          <w:numId w:val="5"/>
        </w:numPr>
        <w:tabs>
          <w:tab w:val="left" w:pos="540"/>
        </w:tabs>
        <w:spacing w:before="80" w:after="80" w:line="380" w:lineRule="exact"/>
        <w:ind w:left="547" w:hanging="547"/>
        <w:contextualSpacing w:val="0"/>
        <w:rPr>
          <w:rFonts w:ascii="Arial" w:hAnsi="Arial" w:cs="Arial"/>
          <w:b/>
          <w:bCs/>
          <w:sz w:val="22"/>
          <w:szCs w:val="22"/>
        </w:rPr>
      </w:pPr>
      <w:r w:rsidRPr="00551B34">
        <w:rPr>
          <w:rFonts w:ascii="Arial" w:hAnsi="Arial" w:cs="Arial"/>
          <w:b/>
          <w:bCs/>
          <w:sz w:val="22"/>
          <w:szCs w:val="22"/>
        </w:rPr>
        <w:t>General information</w:t>
      </w:r>
    </w:p>
    <w:p w14:paraId="6E229139" w14:textId="7627F8EB" w:rsidR="00347BC2" w:rsidRPr="00551B34" w:rsidRDefault="00347BC2" w:rsidP="00F7585E">
      <w:pPr>
        <w:pStyle w:val="BodyTextIndent2"/>
        <w:tabs>
          <w:tab w:val="clear" w:pos="360"/>
          <w:tab w:val="clear" w:pos="2160"/>
          <w:tab w:val="clear" w:pos="8540"/>
        </w:tabs>
        <w:spacing w:before="80" w:after="80"/>
        <w:ind w:left="547" w:firstLine="0"/>
        <w:jc w:val="thaiDistribute"/>
        <w:rPr>
          <w:rFonts w:ascii="Arial" w:hAnsi="Arial" w:cs="Arial"/>
          <w:sz w:val="22"/>
          <w:szCs w:val="22"/>
        </w:rPr>
      </w:pPr>
      <w:proofErr w:type="spellStart"/>
      <w:r w:rsidRPr="00551B34">
        <w:rPr>
          <w:rFonts w:ascii="Arial" w:hAnsi="Arial" w:cs="Arial"/>
          <w:sz w:val="22"/>
          <w:szCs w:val="22"/>
        </w:rPr>
        <w:t>Bhiraj</w:t>
      </w:r>
      <w:proofErr w:type="spellEnd"/>
      <w:r w:rsidRPr="00551B34">
        <w:rPr>
          <w:rFonts w:ascii="Arial" w:hAnsi="Arial" w:cs="Arial"/>
          <w:sz w:val="22"/>
          <w:szCs w:val="22"/>
        </w:rPr>
        <w:t xml:space="preserve"> Office Leasehold Real Estate Investment Trust (“the Trust”) as a specific closed-end real estate investment trust with an indefinite term in order to invest in specific property</w:t>
      </w:r>
      <w:r w:rsidR="00137DD6" w:rsidRPr="00551B34">
        <w:rPr>
          <w:rFonts w:ascii="Arial" w:hAnsi="Arial" w:cs="Arial"/>
          <w:sz w:val="22"/>
          <w:szCs w:val="22"/>
          <w:cs/>
        </w:rPr>
        <w:t xml:space="preserve"> </w:t>
      </w:r>
      <w:r w:rsidRPr="00551B34">
        <w:rPr>
          <w:rFonts w:ascii="Arial" w:hAnsi="Arial" w:cs="Arial"/>
          <w:sz w:val="22"/>
          <w:szCs w:val="22"/>
        </w:rPr>
        <w:t xml:space="preserve">objectives are to </w:t>
      </w:r>
      <w:proofErr w:type="spellStart"/>
      <w:r w:rsidRPr="00551B34">
        <w:rPr>
          <w:rFonts w:ascii="Arial" w:hAnsi="Arial" w:cs="Arial"/>
          <w:sz w:val="22"/>
          <w:szCs w:val="22"/>
        </w:rPr>
        <w:t>mobilise</w:t>
      </w:r>
      <w:proofErr w:type="spellEnd"/>
      <w:r w:rsidRPr="00551B34">
        <w:rPr>
          <w:rFonts w:ascii="Arial" w:hAnsi="Arial" w:cs="Arial"/>
          <w:sz w:val="22"/>
          <w:szCs w:val="22"/>
        </w:rPr>
        <w:t xml:space="preserve"> funds raised from the selling of trust units</w:t>
      </w:r>
      <w:r w:rsidRPr="00551B34">
        <w:rPr>
          <w:rFonts w:ascii="Arial" w:hAnsi="Arial" w:cs="Arial"/>
          <w:sz w:val="22"/>
          <w:szCs w:val="22"/>
          <w:cs/>
        </w:rPr>
        <w:t xml:space="preserve"> </w:t>
      </w:r>
      <w:r w:rsidRPr="00551B34">
        <w:rPr>
          <w:rFonts w:ascii="Arial" w:hAnsi="Arial" w:cs="Arial"/>
          <w:sz w:val="22"/>
          <w:szCs w:val="22"/>
        </w:rPr>
        <w:t>and loan from financial institution to invest in the leaseh</w:t>
      </w:r>
      <w:r w:rsidR="00E46535" w:rsidRPr="00551B34">
        <w:rPr>
          <w:rFonts w:ascii="Arial" w:hAnsi="Arial" w:cs="Arial"/>
          <w:sz w:val="22"/>
          <w:szCs w:val="22"/>
        </w:rPr>
        <w:t xml:space="preserve">old right of BHIRAJ TOWER at </w:t>
      </w:r>
      <w:proofErr w:type="spellStart"/>
      <w:r w:rsidR="00E46535" w:rsidRPr="00551B34">
        <w:rPr>
          <w:rFonts w:ascii="Arial" w:hAnsi="Arial" w:cs="Arial"/>
          <w:sz w:val="22"/>
          <w:szCs w:val="22"/>
        </w:rPr>
        <w:t>EmQ</w:t>
      </w:r>
      <w:r w:rsidRPr="00551B34">
        <w:rPr>
          <w:rFonts w:ascii="Arial" w:hAnsi="Arial" w:cs="Arial"/>
          <w:sz w:val="22"/>
          <w:szCs w:val="22"/>
        </w:rPr>
        <w:t>uartier</w:t>
      </w:r>
      <w:proofErr w:type="spellEnd"/>
      <w:r w:rsidRPr="00551B34">
        <w:rPr>
          <w:rFonts w:ascii="Arial" w:hAnsi="Arial" w:cs="Arial"/>
          <w:sz w:val="22"/>
          <w:szCs w:val="22"/>
        </w:rPr>
        <w:t xml:space="preserve"> project </w:t>
      </w:r>
      <w:r w:rsidR="00C212A3" w:rsidRPr="00551B34">
        <w:rPr>
          <w:rFonts w:ascii="Arial" w:hAnsi="Arial" w:cs="Arial"/>
          <w:sz w:val="22"/>
          <w:szCs w:val="22"/>
        </w:rPr>
        <w:t xml:space="preserve">and </w:t>
      </w:r>
      <w:r w:rsidR="009935C2" w:rsidRPr="00551B34">
        <w:rPr>
          <w:rFonts w:ascii="Arial" w:hAnsi="Arial" w:cs="Arial"/>
          <w:sz w:val="22"/>
          <w:szCs w:val="22"/>
        </w:rPr>
        <w:t xml:space="preserve">BHIRAJ TOWER at BITEC project </w:t>
      </w:r>
      <w:r w:rsidRPr="00551B34">
        <w:rPr>
          <w:rFonts w:ascii="Arial" w:hAnsi="Arial" w:cs="Arial"/>
          <w:sz w:val="22"/>
          <w:szCs w:val="22"/>
        </w:rPr>
        <w:t>which comprises most of the office ren</w:t>
      </w:r>
      <w:r w:rsidR="00E46535" w:rsidRPr="00551B34">
        <w:rPr>
          <w:rFonts w:ascii="Arial" w:hAnsi="Arial" w:cs="Arial"/>
          <w:sz w:val="22"/>
          <w:szCs w:val="22"/>
        </w:rPr>
        <w:t xml:space="preserve">tal areas </w:t>
      </w:r>
      <w:r w:rsidRPr="00551B34">
        <w:rPr>
          <w:rFonts w:ascii="Arial" w:hAnsi="Arial" w:cs="Arial"/>
          <w:sz w:val="22"/>
          <w:szCs w:val="22"/>
        </w:rPr>
        <w:t>and the associated operation areas, including the transferred ownership of utility and movable property which related to the operation of office buildings.</w:t>
      </w:r>
    </w:p>
    <w:p w14:paraId="768544DB" w14:textId="5C838594" w:rsidR="007F4938" w:rsidRPr="00551B34" w:rsidRDefault="007F4938" w:rsidP="00F7585E">
      <w:pPr>
        <w:pStyle w:val="BodyTextIndent2"/>
        <w:tabs>
          <w:tab w:val="clear" w:pos="360"/>
          <w:tab w:val="clear" w:pos="2160"/>
          <w:tab w:val="clear" w:pos="8540"/>
        </w:tabs>
        <w:spacing w:before="80" w:after="80"/>
        <w:ind w:left="547" w:firstLine="0"/>
        <w:jc w:val="thaiDistribute"/>
        <w:rPr>
          <w:rFonts w:ascii="Arial" w:hAnsi="Arial" w:cs="Arial"/>
          <w:sz w:val="22"/>
          <w:szCs w:val="22"/>
        </w:rPr>
      </w:pPr>
      <w:r w:rsidRPr="00551B34">
        <w:rPr>
          <w:rFonts w:ascii="Arial" w:hAnsi="Arial" w:cs="Arial"/>
          <w:sz w:val="22"/>
          <w:szCs w:val="22"/>
        </w:rPr>
        <w:t xml:space="preserve">As </w:t>
      </w:r>
      <w:proofErr w:type="gramStart"/>
      <w:r w:rsidRPr="00551B34">
        <w:rPr>
          <w:rFonts w:ascii="Arial" w:hAnsi="Arial" w:cs="Arial"/>
          <w:sz w:val="22"/>
          <w:szCs w:val="22"/>
        </w:rPr>
        <w:t>at</w:t>
      </w:r>
      <w:proofErr w:type="gramEnd"/>
      <w:r w:rsidRPr="00551B34">
        <w:rPr>
          <w:rFonts w:ascii="Arial" w:hAnsi="Arial" w:cs="Arial"/>
          <w:sz w:val="22"/>
          <w:szCs w:val="22"/>
        </w:rPr>
        <w:t xml:space="preserve"> </w:t>
      </w:r>
      <w:r w:rsidR="00CA7822" w:rsidRPr="00551B34">
        <w:rPr>
          <w:rFonts w:ascii="Arial" w:hAnsi="Arial" w:cs="Arial"/>
          <w:sz w:val="22"/>
          <w:szCs w:val="22"/>
        </w:rPr>
        <w:t>31 March 202</w:t>
      </w:r>
      <w:r w:rsidR="001F3382">
        <w:rPr>
          <w:rFonts w:ascii="Arial" w:hAnsi="Arial" w:cs="Arial"/>
          <w:sz w:val="22"/>
          <w:szCs w:val="22"/>
        </w:rPr>
        <w:t>5</w:t>
      </w:r>
      <w:r w:rsidRPr="00551B34">
        <w:rPr>
          <w:rFonts w:ascii="Arial" w:hAnsi="Arial" w:cs="Arial"/>
          <w:sz w:val="22"/>
          <w:szCs w:val="22"/>
          <w:cs/>
        </w:rPr>
        <w:t xml:space="preserve"> </w:t>
      </w:r>
      <w:r w:rsidRPr="00551B34">
        <w:rPr>
          <w:rFonts w:ascii="Arial" w:hAnsi="Arial" w:cs="Arial"/>
          <w:sz w:val="22"/>
          <w:szCs w:val="22"/>
        </w:rPr>
        <w:t>and 31 December 202</w:t>
      </w:r>
      <w:r w:rsidR="001F3382">
        <w:rPr>
          <w:rFonts w:ascii="Arial" w:hAnsi="Arial" w:cs="Arial"/>
          <w:sz w:val="22"/>
          <w:szCs w:val="22"/>
        </w:rPr>
        <w:t>4</w:t>
      </w:r>
      <w:r w:rsidRPr="00551B34">
        <w:rPr>
          <w:rFonts w:ascii="Arial" w:hAnsi="Arial" w:cs="Arial"/>
          <w:sz w:val="22"/>
          <w:szCs w:val="22"/>
        </w:rPr>
        <w:t xml:space="preserve">, the Trust’s major unitholder is BHIRAJ BURI Company Limited which hold </w:t>
      </w:r>
      <w:r w:rsidR="005E3A3E" w:rsidRPr="00551B34">
        <w:rPr>
          <w:rFonts w:ascii="Arial" w:hAnsi="Arial" w:cs="Arial"/>
          <w:sz w:val="22"/>
          <w:szCs w:val="22"/>
        </w:rPr>
        <w:t>20.22</w:t>
      </w:r>
      <w:r w:rsidR="00BB0A0C" w:rsidRPr="00551B34">
        <w:rPr>
          <w:rFonts w:ascii="Arial" w:hAnsi="Arial" w:cs="Arial"/>
          <w:sz w:val="22"/>
          <w:szCs w:val="22"/>
        </w:rPr>
        <w:t>%</w:t>
      </w:r>
      <w:r w:rsidRPr="00551B34">
        <w:rPr>
          <w:rFonts w:ascii="Arial" w:hAnsi="Arial" w:cs="Arial"/>
          <w:sz w:val="22"/>
          <w:szCs w:val="22"/>
          <w:cs/>
        </w:rPr>
        <w:t xml:space="preserve"> </w:t>
      </w:r>
      <w:r w:rsidRPr="00551B34">
        <w:rPr>
          <w:rFonts w:ascii="Arial" w:hAnsi="Arial" w:cs="Arial"/>
          <w:sz w:val="22"/>
          <w:szCs w:val="22"/>
        </w:rPr>
        <w:t>of issued and fully paid-up trust unit.</w:t>
      </w:r>
    </w:p>
    <w:p w14:paraId="06FD05CA" w14:textId="2BB17DD6" w:rsidR="00970E7C" w:rsidRPr="00551B34" w:rsidRDefault="00970E7C" w:rsidP="00F7585E">
      <w:pPr>
        <w:pStyle w:val="ListParagraph"/>
        <w:numPr>
          <w:ilvl w:val="0"/>
          <w:numId w:val="5"/>
        </w:numPr>
        <w:tabs>
          <w:tab w:val="left" w:pos="540"/>
        </w:tabs>
        <w:spacing w:before="80" w:after="80" w:line="380" w:lineRule="exact"/>
        <w:ind w:left="540" w:hanging="540"/>
        <w:contextualSpacing w:val="0"/>
        <w:rPr>
          <w:rFonts w:ascii="Arial" w:hAnsi="Arial" w:cs="Arial"/>
          <w:b/>
          <w:bCs/>
          <w:sz w:val="22"/>
          <w:szCs w:val="22"/>
        </w:rPr>
      </w:pPr>
      <w:r w:rsidRPr="00551B34">
        <w:rPr>
          <w:rFonts w:ascii="Arial" w:hAnsi="Arial" w:cs="Arial"/>
          <w:b/>
          <w:bCs/>
          <w:sz w:val="22"/>
          <w:szCs w:val="22"/>
        </w:rPr>
        <w:t xml:space="preserve">Basis of preparation of interim financial </w:t>
      </w:r>
      <w:r w:rsidR="008762A4" w:rsidRPr="00551B34">
        <w:rPr>
          <w:rFonts w:ascii="Arial" w:hAnsi="Arial" w:cs="Arial"/>
          <w:b/>
          <w:bCs/>
          <w:sz w:val="22"/>
          <w:szCs w:val="22"/>
        </w:rPr>
        <w:t>information</w:t>
      </w:r>
    </w:p>
    <w:p w14:paraId="33D3C836" w14:textId="05AB4A17" w:rsidR="007C1D65" w:rsidRPr="00551B34" w:rsidRDefault="007C1D65" w:rsidP="00F7585E">
      <w:pPr>
        <w:tabs>
          <w:tab w:val="left" w:pos="900"/>
          <w:tab w:val="left" w:pos="2160"/>
        </w:tabs>
        <w:spacing w:before="80" w:after="80" w:line="380" w:lineRule="exact"/>
        <w:ind w:left="547" w:hanging="547"/>
        <w:jc w:val="thaiDistribute"/>
        <w:rPr>
          <w:rFonts w:ascii="Arial" w:hAnsi="Arial" w:cs="Arial"/>
          <w:sz w:val="22"/>
          <w:szCs w:val="22"/>
        </w:rPr>
      </w:pPr>
      <w:r w:rsidRPr="00551B34">
        <w:rPr>
          <w:rFonts w:ascii="Arial" w:hAnsi="Arial" w:cs="Arial"/>
          <w:sz w:val="22"/>
          <w:szCs w:val="22"/>
        </w:rPr>
        <w:tab/>
        <w:t>Th</w:t>
      </w:r>
      <w:r w:rsidR="008762A4" w:rsidRPr="00551B34">
        <w:rPr>
          <w:rFonts w:ascii="Arial" w:hAnsi="Arial" w:cs="Arial"/>
          <w:sz w:val="22"/>
          <w:szCs w:val="22"/>
        </w:rPr>
        <w:t>is</w:t>
      </w:r>
      <w:r w:rsidRPr="00551B34">
        <w:rPr>
          <w:rFonts w:ascii="Arial" w:hAnsi="Arial" w:cs="Arial"/>
          <w:sz w:val="22"/>
          <w:szCs w:val="22"/>
        </w:rPr>
        <w:t xml:space="preserve"> interim financial </w:t>
      </w:r>
      <w:r w:rsidR="008762A4" w:rsidRPr="00551B34">
        <w:rPr>
          <w:rFonts w:ascii="Arial" w:hAnsi="Arial" w:cs="Arial"/>
          <w:sz w:val="22"/>
          <w:szCs w:val="22"/>
        </w:rPr>
        <w:t>information</w:t>
      </w:r>
      <w:r w:rsidRPr="00551B34">
        <w:rPr>
          <w:rFonts w:ascii="Arial" w:hAnsi="Arial" w:cs="Arial"/>
          <w:sz w:val="22"/>
          <w:szCs w:val="22"/>
        </w:rPr>
        <w:t xml:space="preserve"> </w:t>
      </w:r>
      <w:r w:rsidR="008762A4" w:rsidRPr="00551B34">
        <w:rPr>
          <w:rFonts w:ascii="Arial" w:hAnsi="Arial" w:cs="Arial"/>
          <w:sz w:val="22"/>
          <w:szCs w:val="22"/>
        </w:rPr>
        <w:t>is</w:t>
      </w:r>
      <w:r w:rsidRPr="00551B34">
        <w:rPr>
          <w:rFonts w:ascii="Arial" w:hAnsi="Arial" w:cs="Arial"/>
          <w:sz w:val="22"/>
          <w:szCs w:val="22"/>
        </w:rPr>
        <w:t xml:space="preserve"> prepared in accordance with the Accounting Guidance for Property Funds, Real Estate Investment Trusts, Infrastructure Funds and Infrastructure Trusts issued by the Association of Investment Management Companies and approved by the Securities and Exchange Commission of Thailand. The Trust has chosen to present condensed interim financial statements in accordance with TAS 34, Interim Financial Reporting. However, the </w:t>
      </w:r>
      <w:r w:rsidR="0023022C" w:rsidRPr="00551B34">
        <w:rPr>
          <w:rFonts w:ascii="Arial" w:hAnsi="Arial" w:cs="Arial"/>
          <w:sz w:val="22"/>
          <w:szCs w:val="22"/>
        </w:rPr>
        <w:t>Trust</w:t>
      </w:r>
      <w:r w:rsidRPr="00551B34">
        <w:rPr>
          <w:rFonts w:ascii="Arial" w:hAnsi="Arial" w:cs="Arial"/>
          <w:sz w:val="22"/>
          <w:szCs w:val="22"/>
        </w:rPr>
        <w:t xml:space="preserve"> has presented the statement of financial position, including details of investments, comprehensive income, changes in net assets, and cash flows in the same format as that will be used for the annual financial statements.</w:t>
      </w:r>
    </w:p>
    <w:p w14:paraId="5EB49170" w14:textId="02FC95E3" w:rsidR="008272D4" w:rsidRPr="00551B34" w:rsidRDefault="008272D4" w:rsidP="00F7585E">
      <w:pPr>
        <w:tabs>
          <w:tab w:val="left" w:pos="900"/>
          <w:tab w:val="left" w:pos="2160"/>
        </w:tabs>
        <w:spacing w:before="80" w:after="80" w:line="380" w:lineRule="exact"/>
        <w:ind w:left="547" w:hanging="547"/>
        <w:jc w:val="thaiDistribute"/>
        <w:rPr>
          <w:rFonts w:ascii="Arial" w:hAnsi="Arial" w:cs="Arial"/>
          <w:sz w:val="22"/>
          <w:szCs w:val="22"/>
        </w:rPr>
      </w:pPr>
      <w:r w:rsidRPr="00551B34">
        <w:rPr>
          <w:rFonts w:ascii="Arial" w:hAnsi="Arial" w:cs="Arial"/>
          <w:sz w:val="22"/>
          <w:szCs w:val="22"/>
        </w:rPr>
        <w:tab/>
        <w:t xml:space="preserve">The interim financial </w:t>
      </w:r>
      <w:r w:rsidR="008762A4" w:rsidRPr="00551B34">
        <w:rPr>
          <w:rFonts w:ascii="Arial" w:hAnsi="Arial" w:cs="Arial"/>
          <w:sz w:val="22"/>
          <w:szCs w:val="22"/>
        </w:rPr>
        <w:t>information</w:t>
      </w:r>
      <w:r w:rsidRPr="00551B34">
        <w:rPr>
          <w:rFonts w:ascii="Arial" w:hAnsi="Arial" w:cs="Arial"/>
          <w:sz w:val="22"/>
          <w:szCs w:val="22"/>
        </w:rPr>
        <w:t xml:space="preserve"> </w:t>
      </w:r>
      <w:r w:rsidR="008762A4" w:rsidRPr="00551B34">
        <w:rPr>
          <w:rFonts w:ascii="Arial" w:hAnsi="Arial" w:cs="Arial"/>
          <w:sz w:val="22"/>
          <w:szCs w:val="22"/>
        </w:rPr>
        <w:t>is</w:t>
      </w:r>
      <w:r w:rsidRPr="00551B34">
        <w:rPr>
          <w:rFonts w:ascii="Arial" w:hAnsi="Arial" w:cs="Arial"/>
          <w:sz w:val="22"/>
          <w:szCs w:val="22"/>
        </w:rPr>
        <w:t xml:space="preserve"> intended to provide information additional to that included in the latest annual financial statements. Accordingly, they focus on new activities, events, and circumstances so as not to duplicate information previously reported. Th</w:t>
      </w:r>
      <w:r w:rsidR="008762A4" w:rsidRPr="00551B34">
        <w:rPr>
          <w:rFonts w:ascii="Arial" w:hAnsi="Arial" w:cs="Arial"/>
          <w:sz w:val="22"/>
          <w:szCs w:val="22"/>
        </w:rPr>
        <w:t>is</w:t>
      </w:r>
      <w:r w:rsidRPr="00551B34">
        <w:rPr>
          <w:rFonts w:ascii="Arial" w:hAnsi="Arial" w:cs="Arial"/>
          <w:sz w:val="22"/>
          <w:szCs w:val="22"/>
        </w:rPr>
        <w:t xml:space="preserve"> interim financial </w:t>
      </w:r>
      <w:r w:rsidR="008762A4" w:rsidRPr="00551B34">
        <w:rPr>
          <w:rFonts w:ascii="Arial" w:hAnsi="Arial" w:cs="Arial"/>
          <w:sz w:val="22"/>
          <w:szCs w:val="22"/>
        </w:rPr>
        <w:t>information</w:t>
      </w:r>
      <w:r w:rsidRPr="00551B34">
        <w:rPr>
          <w:rFonts w:ascii="Arial" w:hAnsi="Arial" w:cs="Arial"/>
          <w:sz w:val="22"/>
          <w:szCs w:val="22"/>
        </w:rPr>
        <w:t xml:space="preserve"> should therefore be read in conjunction with the latest annual financial statements.</w:t>
      </w:r>
    </w:p>
    <w:p w14:paraId="503C5D03" w14:textId="43882A50" w:rsidR="003106ED" w:rsidRPr="00551B34" w:rsidRDefault="003106ED" w:rsidP="00F7585E">
      <w:pPr>
        <w:tabs>
          <w:tab w:val="left" w:pos="900"/>
          <w:tab w:val="left" w:pos="2160"/>
        </w:tabs>
        <w:spacing w:before="80" w:after="80" w:line="380" w:lineRule="exact"/>
        <w:ind w:left="547" w:hanging="547"/>
        <w:jc w:val="thaiDistribute"/>
        <w:rPr>
          <w:rFonts w:ascii="Arial" w:eastAsia="MS Mincho" w:hAnsi="Arial" w:cs="Arial"/>
          <w:sz w:val="22"/>
          <w:szCs w:val="22"/>
          <w:lang w:eastAsia="ja-JP"/>
        </w:rPr>
      </w:pPr>
      <w:r w:rsidRPr="00551B34">
        <w:rPr>
          <w:rFonts w:ascii="Arial" w:eastAsia="MS Mincho" w:hAnsi="Arial" w:cs="Arial"/>
          <w:sz w:val="22"/>
          <w:szCs w:val="22"/>
          <w:lang w:eastAsia="ja-JP"/>
        </w:rPr>
        <w:tab/>
        <w:t xml:space="preserve">The interim financial </w:t>
      </w:r>
      <w:r w:rsidR="008762A4" w:rsidRPr="00551B34">
        <w:rPr>
          <w:rFonts w:ascii="Arial" w:eastAsia="MS Mincho" w:hAnsi="Arial" w:cs="Arial"/>
          <w:sz w:val="22"/>
          <w:szCs w:val="22"/>
          <w:lang w:eastAsia="ja-JP"/>
        </w:rPr>
        <w:t>information</w:t>
      </w:r>
      <w:r w:rsidRPr="00551B34">
        <w:rPr>
          <w:rFonts w:ascii="Arial" w:eastAsia="MS Mincho" w:hAnsi="Arial" w:cs="Arial"/>
          <w:sz w:val="22"/>
          <w:szCs w:val="22"/>
          <w:lang w:eastAsia="ja-JP"/>
        </w:rPr>
        <w:t xml:space="preserve"> in Thai language </w:t>
      </w:r>
      <w:r w:rsidR="008762A4" w:rsidRPr="00551B34">
        <w:rPr>
          <w:rFonts w:ascii="Arial" w:eastAsia="MS Mincho" w:hAnsi="Arial" w:cs="Arial"/>
          <w:sz w:val="22"/>
          <w:szCs w:val="22"/>
          <w:lang w:eastAsia="ja-JP"/>
        </w:rPr>
        <w:t>is</w:t>
      </w:r>
      <w:r w:rsidRPr="00551B34">
        <w:rPr>
          <w:rFonts w:ascii="Arial" w:eastAsia="MS Mincho" w:hAnsi="Arial" w:cs="Arial"/>
          <w:sz w:val="22"/>
          <w:szCs w:val="22"/>
          <w:lang w:eastAsia="ja-JP"/>
        </w:rPr>
        <w:t xml:space="preserve"> the official statutory financial </w:t>
      </w:r>
      <w:r w:rsidR="008762A4" w:rsidRPr="00551B34">
        <w:rPr>
          <w:rFonts w:ascii="Arial" w:eastAsia="MS Mincho" w:hAnsi="Arial" w:cs="Arial"/>
          <w:sz w:val="22"/>
          <w:szCs w:val="22"/>
          <w:lang w:eastAsia="ja-JP"/>
        </w:rPr>
        <w:t>information</w:t>
      </w:r>
      <w:r w:rsidRPr="00551B34">
        <w:rPr>
          <w:rFonts w:ascii="Arial" w:eastAsia="MS Mincho" w:hAnsi="Arial" w:cs="Arial"/>
          <w:sz w:val="22"/>
          <w:szCs w:val="22"/>
          <w:lang w:eastAsia="ja-JP"/>
        </w:rPr>
        <w:t xml:space="preserve"> of the Trust. The interim financial </w:t>
      </w:r>
      <w:r w:rsidR="008762A4" w:rsidRPr="00551B34">
        <w:rPr>
          <w:rFonts w:ascii="Arial" w:eastAsia="MS Mincho" w:hAnsi="Arial" w:cs="Arial"/>
          <w:sz w:val="22"/>
          <w:szCs w:val="22"/>
          <w:lang w:eastAsia="ja-JP"/>
        </w:rPr>
        <w:t>information</w:t>
      </w:r>
      <w:r w:rsidRPr="00551B34">
        <w:rPr>
          <w:rFonts w:ascii="Arial" w:eastAsia="MS Mincho" w:hAnsi="Arial" w:cs="Arial"/>
          <w:sz w:val="22"/>
          <w:szCs w:val="22"/>
          <w:lang w:eastAsia="ja-JP"/>
        </w:rPr>
        <w:t xml:space="preserve"> in English language ha</w:t>
      </w:r>
      <w:r w:rsidR="008762A4" w:rsidRPr="00551B34">
        <w:rPr>
          <w:rFonts w:ascii="Arial" w:eastAsia="MS Mincho" w:hAnsi="Arial" w:cs="Arial"/>
          <w:sz w:val="22"/>
          <w:szCs w:val="22"/>
          <w:lang w:eastAsia="ja-JP"/>
        </w:rPr>
        <w:t>s</w:t>
      </w:r>
      <w:r w:rsidRPr="00551B34">
        <w:rPr>
          <w:rFonts w:ascii="Arial" w:eastAsia="MS Mincho" w:hAnsi="Arial" w:cs="Arial"/>
          <w:sz w:val="22"/>
          <w:szCs w:val="22"/>
          <w:lang w:eastAsia="ja-JP"/>
        </w:rPr>
        <w:t xml:space="preserve"> been translated from the Thai language financial </w:t>
      </w:r>
      <w:r w:rsidR="008762A4" w:rsidRPr="00551B34">
        <w:rPr>
          <w:rFonts w:ascii="Arial" w:eastAsia="MS Mincho" w:hAnsi="Arial" w:cs="Arial"/>
          <w:sz w:val="22"/>
          <w:szCs w:val="22"/>
          <w:lang w:eastAsia="ja-JP"/>
        </w:rPr>
        <w:t>information</w:t>
      </w:r>
      <w:r w:rsidRPr="00551B34">
        <w:rPr>
          <w:rFonts w:ascii="Arial" w:eastAsia="MS Mincho" w:hAnsi="Arial" w:cs="Arial"/>
          <w:sz w:val="22"/>
          <w:szCs w:val="22"/>
          <w:lang w:eastAsia="ja-JP"/>
        </w:rPr>
        <w:t>.</w:t>
      </w:r>
    </w:p>
    <w:p w14:paraId="36C92870" w14:textId="77777777" w:rsidR="00175512" w:rsidRPr="00551B34" w:rsidRDefault="00175512" w:rsidP="00F7585E">
      <w:pPr>
        <w:pStyle w:val="ListParagraph"/>
        <w:numPr>
          <w:ilvl w:val="0"/>
          <w:numId w:val="5"/>
        </w:numPr>
        <w:spacing w:before="80" w:after="80" w:line="380" w:lineRule="exact"/>
        <w:ind w:left="540" w:hanging="540"/>
        <w:rPr>
          <w:rFonts w:ascii="Arial" w:hAnsi="Arial" w:cs="Arial"/>
          <w:b/>
          <w:bCs/>
          <w:sz w:val="22"/>
          <w:szCs w:val="22"/>
        </w:rPr>
      </w:pPr>
      <w:r w:rsidRPr="00551B34">
        <w:rPr>
          <w:rFonts w:ascii="Arial" w:hAnsi="Arial" w:cs="Arial"/>
          <w:b/>
          <w:bCs/>
          <w:sz w:val="22"/>
          <w:szCs w:val="22"/>
        </w:rPr>
        <w:t>Significant accounting policies </w:t>
      </w:r>
    </w:p>
    <w:p w14:paraId="355ED556" w14:textId="49A1BEE0" w:rsidR="00CA7822" w:rsidRPr="00551B34" w:rsidRDefault="00175512" w:rsidP="00F7585E">
      <w:pPr>
        <w:tabs>
          <w:tab w:val="left" w:pos="900"/>
          <w:tab w:val="left" w:pos="2160"/>
        </w:tabs>
        <w:spacing w:before="80" w:after="80" w:line="380" w:lineRule="exact"/>
        <w:ind w:left="547" w:hanging="547"/>
        <w:jc w:val="thaiDistribute"/>
        <w:rPr>
          <w:rFonts w:ascii="Arial" w:eastAsia="MS Mincho" w:hAnsi="Arial" w:cs="Arial"/>
          <w:sz w:val="22"/>
          <w:szCs w:val="22"/>
          <w:lang w:eastAsia="ja-JP"/>
        </w:rPr>
      </w:pPr>
      <w:r w:rsidRPr="00551B34">
        <w:rPr>
          <w:rFonts w:ascii="Arial" w:eastAsia="MS Mincho" w:hAnsi="Arial" w:cs="Arial"/>
          <w:sz w:val="22"/>
          <w:szCs w:val="22"/>
          <w:cs/>
          <w:lang w:eastAsia="ja-JP"/>
        </w:rPr>
        <w:tab/>
      </w:r>
      <w:r w:rsidRPr="00551B34">
        <w:rPr>
          <w:rFonts w:ascii="Arial" w:eastAsia="MS Mincho" w:hAnsi="Arial" w:cs="Arial"/>
          <w:sz w:val="22"/>
          <w:szCs w:val="22"/>
          <w:lang w:eastAsia="ja-JP"/>
        </w:rPr>
        <w:t xml:space="preserve">The interim financial </w:t>
      </w:r>
      <w:r w:rsidR="008762A4" w:rsidRPr="00551B34">
        <w:rPr>
          <w:rFonts w:ascii="Arial" w:eastAsia="MS Mincho" w:hAnsi="Arial" w:cs="Arial"/>
          <w:sz w:val="22"/>
          <w:szCs w:val="22"/>
          <w:lang w:eastAsia="ja-JP"/>
        </w:rPr>
        <w:t>information</w:t>
      </w:r>
      <w:r w:rsidRPr="00551B34">
        <w:rPr>
          <w:rFonts w:ascii="Arial" w:eastAsia="MS Mincho" w:hAnsi="Arial" w:cs="Arial"/>
          <w:sz w:val="22"/>
          <w:szCs w:val="22"/>
          <w:lang w:eastAsia="ja-JP"/>
        </w:rPr>
        <w:t xml:space="preserve"> </w:t>
      </w:r>
      <w:r w:rsidR="008762A4" w:rsidRPr="00551B34">
        <w:rPr>
          <w:rFonts w:ascii="Arial" w:eastAsia="MS Mincho" w:hAnsi="Arial" w:cs="Arial"/>
          <w:sz w:val="22"/>
          <w:szCs w:val="22"/>
          <w:lang w:eastAsia="ja-JP"/>
        </w:rPr>
        <w:t>is</w:t>
      </w:r>
      <w:r w:rsidRPr="00551B34">
        <w:rPr>
          <w:rFonts w:ascii="Arial" w:eastAsia="MS Mincho" w:hAnsi="Arial" w:cs="Arial"/>
          <w:sz w:val="22"/>
          <w:szCs w:val="22"/>
          <w:lang w:eastAsia="ja-JP"/>
        </w:rPr>
        <w:t xml:space="preserve"> prepared by using the same accounting policies and</w:t>
      </w:r>
      <w:r w:rsidRPr="00551B34">
        <w:rPr>
          <w:rFonts w:ascii="Arial" w:eastAsia="MS Mincho" w:hAnsi="Arial" w:cs="Arial"/>
          <w:sz w:val="22"/>
          <w:szCs w:val="22"/>
          <w:cs/>
          <w:lang w:eastAsia="ja-JP"/>
        </w:rPr>
        <w:t xml:space="preserve"> </w:t>
      </w:r>
      <w:r w:rsidRPr="00551B34">
        <w:rPr>
          <w:rFonts w:ascii="Arial" w:eastAsia="MS Mincho" w:hAnsi="Arial" w:cs="Arial"/>
          <w:sz w:val="22"/>
          <w:szCs w:val="22"/>
          <w:lang w:eastAsia="ja-JP"/>
        </w:rPr>
        <w:t>methods of computation as were used for the financial statements for the year ended                    31 December 20</w:t>
      </w:r>
      <w:r w:rsidR="00623029" w:rsidRPr="00551B34">
        <w:rPr>
          <w:rFonts w:ascii="Arial" w:eastAsia="MS Mincho" w:hAnsi="Arial" w:cs="Arial"/>
          <w:sz w:val="22"/>
          <w:szCs w:val="22"/>
          <w:lang w:eastAsia="ja-JP"/>
        </w:rPr>
        <w:t>2</w:t>
      </w:r>
      <w:r w:rsidR="006A01FF" w:rsidRPr="00551B34">
        <w:rPr>
          <w:rFonts w:ascii="Arial" w:eastAsia="MS Mincho" w:hAnsi="Arial" w:cs="Arial"/>
          <w:sz w:val="22"/>
          <w:szCs w:val="22"/>
          <w:lang w:eastAsia="ja-JP"/>
        </w:rPr>
        <w:t>4</w:t>
      </w:r>
      <w:r w:rsidR="00CA7822" w:rsidRPr="00551B34">
        <w:rPr>
          <w:rFonts w:ascii="Arial" w:eastAsia="MS Mincho" w:hAnsi="Arial" w:cs="Arial"/>
          <w:sz w:val="22"/>
          <w:szCs w:val="22"/>
          <w:lang w:eastAsia="ja-JP"/>
        </w:rPr>
        <w:t>.</w:t>
      </w:r>
    </w:p>
    <w:p w14:paraId="2219BB72" w14:textId="77777777" w:rsidR="0007125A" w:rsidRDefault="0007125A">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3769A5BC" w14:textId="3CA85D8D" w:rsidR="00347BC2" w:rsidRPr="00551B34" w:rsidRDefault="00D33267" w:rsidP="002C225F">
      <w:pPr>
        <w:pStyle w:val="ListParagraph"/>
        <w:numPr>
          <w:ilvl w:val="0"/>
          <w:numId w:val="5"/>
        </w:numPr>
        <w:tabs>
          <w:tab w:val="left" w:pos="540"/>
        </w:tabs>
        <w:spacing w:before="120" w:after="120" w:line="380" w:lineRule="exact"/>
        <w:ind w:left="540" w:hanging="540"/>
        <w:rPr>
          <w:rFonts w:ascii="Arial" w:hAnsi="Arial" w:cs="Arial"/>
          <w:b/>
          <w:bCs/>
          <w:sz w:val="22"/>
          <w:szCs w:val="22"/>
        </w:rPr>
      </w:pPr>
      <w:r w:rsidRPr="00551B34">
        <w:rPr>
          <w:rFonts w:ascii="Arial" w:hAnsi="Arial" w:cs="Arial"/>
          <w:b/>
          <w:bCs/>
          <w:sz w:val="22"/>
          <w:szCs w:val="22"/>
        </w:rPr>
        <w:lastRenderedPageBreak/>
        <w:t>Investment</w:t>
      </w:r>
      <w:r w:rsidR="004B060B" w:rsidRPr="00551B34">
        <w:rPr>
          <w:rFonts w:ascii="Arial" w:hAnsi="Arial" w:cs="Arial"/>
          <w:b/>
          <w:bCs/>
          <w:sz w:val="22"/>
          <w:szCs w:val="22"/>
        </w:rPr>
        <w:t>s</w:t>
      </w:r>
      <w:r w:rsidRPr="00551B34">
        <w:rPr>
          <w:rFonts w:ascii="Arial" w:hAnsi="Arial" w:cs="Arial"/>
          <w:b/>
          <w:bCs/>
          <w:sz w:val="22"/>
          <w:szCs w:val="22"/>
        </w:rPr>
        <w:t xml:space="preserve"> in leasehold right over propert</w:t>
      </w:r>
      <w:r w:rsidR="0053514A" w:rsidRPr="00551B34">
        <w:rPr>
          <w:rFonts w:ascii="Arial" w:hAnsi="Arial" w:cs="Arial"/>
          <w:b/>
          <w:bCs/>
          <w:sz w:val="22"/>
          <w:szCs w:val="22"/>
        </w:rPr>
        <w:t>ies</w:t>
      </w:r>
      <w:r w:rsidR="00BA5875" w:rsidRPr="00551B34">
        <w:rPr>
          <w:rFonts w:ascii="Arial" w:hAnsi="Arial" w:cs="Arial"/>
          <w:b/>
          <w:bCs/>
          <w:sz w:val="22"/>
          <w:szCs w:val="22"/>
        </w:rPr>
        <w:t xml:space="preserve"> at fair value</w:t>
      </w:r>
    </w:p>
    <w:p w14:paraId="6B07FB54" w14:textId="77777777" w:rsidR="00D02E00" w:rsidRPr="00551B34" w:rsidRDefault="00D02E00" w:rsidP="00D02E00">
      <w:pPr>
        <w:tabs>
          <w:tab w:val="left" w:pos="1440"/>
          <w:tab w:val="left" w:pos="2880"/>
        </w:tabs>
        <w:spacing w:before="120" w:after="120" w:line="380" w:lineRule="exact"/>
        <w:ind w:left="547" w:hanging="547"/>
        <w:jc w:val="right"/>
        <w:rPr>
          <w:rFonts w:ascii="Arial" w:hAnsi="Arial" w:cs="Arial"/>
          <w:b/>
          <w:bCs/>
          <w:sz w:val="22"/>
          <w:szCs w:val="22"/>
        </w:rPr>
      </w:pPr>
      <w:r w:rsidRPr="00551B34">
        <w:rPr>
          <w:rFonts w:ascii="Arial" w:eastAsia="Arial Unicode MS" w:hAnsi="Arial" w:cs="Arial"/>
          <w:sz w:val="22"/>
          <w:szCs w:val="22"/>
        </w:rPr>
        <w:t>(Unit: Thousand Baht)</w:t>
      </w:r>
    </w:p>
    <w:tbl>
      <w:tblPr>
        <w:tblW w:w="9090" w:type="dxa"/>
        <w:tblInd w:w="450" w:type="dxa"/>
        <w:tblLayout w:type="fixed"/>
        <w:tblLook w:val="0000" w:firstRow="0" w:lastRow="0" w:firstColumn="0" w:lastColumn="0" w:noHBand="0" w:noVBand="0"/>
      </w:tblPr>
      <w:tblGrid>
        <w:gridCol w:w="6930"/>
        <w:gridCol w:w="2160"/>
      </w:tblGrid>
      <w:tr w:rsidR="002D270F" w:rsidRPr="00551B34" w14:paraId="34F8B262" w14:textId="77777777" w:rsidTr="00C270A0">
        <w:trPr>
          <w:cantSplit/>
        </w:trPr>
        <w:tc>
          <w:tcPr>
            <w:tcW w:w="6930" w:type="dxa"/>
          </w:tcPr>
          <w:p w14:paraId="2C41C425" w14:textId="77777777" w:rsidR="002D270F" w:rsidRPr="00551B34" w:rsidRDefault="002D270F" w:rsidP="002C225F">
            <w:pPr>
              <w:spacing w:line="380" w:lineRule="exact"/>
              <w:jc w:val="both"/>
              <w:rPr>
                <w:rFonts w:ascii="Arial" w:eastAsia="Arial Unicode MS" w:hAnsi="Arial" w:cs="Arial"/>
                <w:b/>
                <w:bCs/>
                <w:sz w:val="22"/>
                <w:szCs w:val="22"/>
              </w:rPr>
            </w:pPr>
          </w:p>
        </w:tc>
        <w:tc>
          <w:tcPr>
            <w:tcW w:w="2160" w:type="dxa"/>
          </w:tcPr>
          <w:p w14:paraId="720E9861" w14:textId="1A04763B" w:rsidR="002D270F" w:rsidRPr="00551B34" w:rsidRDefault="00CA7822" w:rsidP="002C225F">
            <w:pPr>
              <w:pBdr>
                <w:bottom w:val="single" w:sz="4" w:space="1" w:color="auto"/>
              </w:pBdr>
              <w:spacing w:line="380" w:lineRule="exact"/>
              <w:jc w:val="center"/>
              <w:rPr>
                <w:rFonts w:ascii="Arial" w:hAnsi="Arial" w:cs="Arial"/>
                <w:sz w:val="22"/>
                <w:szCs w:val="22"/>
              </w:rPr>
            </w:pPr>
            <w:r w:rsidRPr="00551B34">
              <w:rPr>
                <w:rFonts w:ascii="Arial" w:hAnsi="Arial" w:cs="Arial"/>
                <w:sz w:val="22"/>
                <w:szCs w:val="22"/>
              </w:rPr>
              <w:t>31 March 202</w:t>
            </w:r>
            <w:r w:rsidR="008131AC" w:rsidRPr="00551B34">
              <w:rPr>
                <w:rFonts w:ascii="Arial" w:hAnsi="Arial" w:cs="Arial"/>
                <w:sz w:val="22"/>
                <w:szCs w:val="22"/>
              </w:rPr>
              <w:t>5</w:t>
            </w:r>
          </w:p>
        </w:tc>
      </w:tr>
      <w:tr w:rsidR="00594B4E" w:rsidRPr="00551B34" w14:paraId="37EE25D5" w14:textId="77777777" w:rsidTr="00594B4E">
        <w:trPr>
          <w:cantSplit/>
        </w:trPr>
        <w:tc>
          <w:tcPr>
            <w:tcW w:w="6930" w:type="dxa"/>
          </w:tcPr>
          <w:p w14:paraId="43E017DE" w14:textId="78D41B44" w:rsidR="00594B4E" w:rsidRPr="00551B34" w:rsidRDefault="00594B4E" w:rsidP="00594B4E">
            <w:pPr>
              <w:spacing w:line="380" w:lineRule="exact"/>
              <w:ind w:left="160" w:right="-200" w:hanging="176"/>
              <w:rPr>
                <w:rFonts w:ascii="Arial" w:eastAsia="Arial Unicode MS" w:hAnsi="Arial" w:cs="Arial"/>
                <w:sz w:val="22"/>
                <w:szCs w:val="22"/>
              </w:rPr>
            </w:pPr>
            <w:r w:rsidRPr="00551B34">
              <w:rPr>
                <w:rFonts w:ascii="Arial" w:eastAsia="Arial Unicode MS" w:hAnsi="Arial" w:cs="Arial"/>
                <w:sz w:val="22"/>
                <w:szCs w:val="22"/>
              </w:rPr>
              <w:t xml:space="preserve">Investments in leasehold right over properties at beginning </w:t>
            </w:r>
            <w:r w:rsidRPr="00551B34">
              <w:rPr>
                <w:rFonts w:ascii="Arial" w:eastAsia="Arial Unicode MS" w:hAnsi="Arial" w:cs="Arial"/>
                <w:sz w:val="22"/>
                <w:szCs w:val="22"/>
                <w:cs/>
              </w:rPr>
              <w:t xml:space="preserve">                                      </w:t>
            </w:r>
            <w:r w:rsidRPr="00551B34">
              <w:rPr>
                <w:rFonts w:ascii="Arial" w:eastAsia="Arial Unicode MS" w:hAnsi="Arial" w:cs="Arial"/>
                <w:sz w:val="22"/>
                <w:szCs w:val="22"/>
              </w:rPr>
              <w:t>of the period</w:t>
            </w:r>
          </w:p>
        </w:tc>
        <w:tc>
          <w:tcPr>
            <w:tcW w:w="2160" w:type="dxa"/>
            <w:vAlign w:val="bottom"/>
          </w:tcPr>
          <w:p w14:paraId="07007751" w14:textId="74E6FDEA" w:rsidR="00594B4E" w:rsidRPr="00551B34" w:rsidRDefault="00594B4E" w:rsidP="00492DC2">
            <w:pPr>
              <w:tabs>
                <w:tab w:val="decimal" w:pos="1784"/>
              </w:tabs>
              <w:spacing w:line="380" w:lineRule="exact"/>
              <w:rPr>
                <w:rFonts w:ascii="Arial" w:hAnsi="Arial" w:cs="Arial"/>
                <w:sz w:val="22"/>
                <w:szCs w:val="22"/>
              </w:rPr>
            </w:pPr>
            <w:r w:rsidRPr="00551B34">
              <w:rPr>
                <w:rFonts w:ascii="Arial" w:hAnsi="Arial" w:cs="Arial"/>
                <w:sz w:val="22"/>
                <w:szCs w:val="22"/>
              </w:rPr>
              <w:t>9,051,002</w:t>
            </w:r>
          </w:p>
        </w:tc>
      </w:tr>
      <w:tr w:rsidR="00594B4E" w:rsidRPr="00551B34" w14:paraId="5C9D2C92" w14:textId="77777777" w:rsidTr="0019062F">
        <w:trPr>
          <w:cantSplit/>
        </w:trPr>
        <w:tc>
          <w:tcPr>
            <w:tcW w:w="6930" w:type="dxa"/>
          </w:tcPr>
          <w:p w14:paraId="46027583" w14:textId="7E56F30E" w:rsidR="00594B4E" w:rsidRPr="00551B34" w:rsidRDefault="00594B4E" w:rsidP="00594B4E">
            <w:pPr>
              <w:spacing w:line="380" w:lineRule="exact"/>
              <w:ind w:left="160" w:right="-200" w:hanging="176"/>
              <w:rPr>
                <w:rFonts w:ascii="Arial" w:eastAsia="Arial Unicode MS" w:hAnsi="Arial" w:cs="Arial"/>
                <w:sz w:val="22"/>
                <w:szCs w:val="22"/>
              </w:rPr>
            </w:pPr>
            <w:r w:rsidRPr="00551B34">
              <w:rPr>
                <w:rFonts w:ascii="Arial" w:eastAsia="Arial Unicode MS" w:hAnsi="Arial" w:cs="Arial"/>
                <w:sz w:val="22"/>
                <w:szCs w:val="22"/>
              </w:rPr>
              <w:t>Increase in building improvement</w:t>
            </w:r>
          </w:p>
        </w:tc>
        <w:tc>
          <w:tcPr>
            <w:tcW w:w="2160" w:type="dxa"/>
          </w:tcPr>
          <w:p w14:paraId="676303FF" w14:textId="5CA7ECDF" w:rsidR="00594B4E" w:rsidRPr="00551B34" w:rsidRDefault="00594B4E" w:rsidP="00594B4E">
            <w:pPr>
              <w:tabs>
                <w:tab w:val="decimal" w:pos="1784"/>
              </w:tabs>
              <w:spacing w:line="380" w:lineRule="exact"/>
              <w:rPr>
                <w:rFonts w:ascii="Arial" w:hAnsi="Arial" w:cs="Arial"/>
                <w:sz w:val="22"/>
                <w:szCs w:val="22"/>
              </w:rPr>
            </w:pPr>
            <w:r w:rsidRPr="00551B34">
              <w:rPr>
                <w:rFonts w:ascii="Arial" w:hAnsi="Arial" w:cs="Arial"/>
                <w:sz w:val="22"/>
                <w:szCs w:val="22"/>
              </w:rPr>
              <w:t>4,452</w:t>
            </w:r>
          </w:p>
        </w:tc>
      </w:tr>
      <w:tr w:rsidR="00594B4E" w:rsidRPr="00551B34" w14:paraId="31C0D48B" w14:textId="77777777" w:rsidTr="0019062F">
        <w:trPr>
          <w:cantSplit/>
        </w:trPr>
        <w:tc>
          <w:tcPr>
            <w:tcW w:w="6930" w:type="dxa"/>
          </w:tcPr>
          <w:p w14:paraId="4E64A597" w14:textId="37C86DEA" w:rsidR="00594B4E" w:rsidRPr="00551B34" w:rsidRDefault="00594B4E" w:rsidP="00594B4E">
            <w:pPr>
              <w:spacing w:line="380" w:lineRule="exact"/>
              <w:ind w:left="705" w:hanging="705"/>
              <w:rPr>
                <w:rFonts w:ascii="Arial" w:eastAsia="Arial Unicode MS" w:hAnsi="Arial" w:cs="Arial"/>
                <w:sz w:val="22"/>
                <w:szCs w:val="22"/>
              </w:rPr>
            </w:pPr>
            <w:r w:rsidRPr="00551B34">
              <w:rPr>
                <w:rFonts w:ascii="Arial" w:eastAsia="Arial Unicode MS" w:hAnsi="Arial" w:cs="Arial"/>
                <w:sz w:val="22"/>
                <w:szCs w:val="22"/>
              </w:rPr>
              <w:t>Net loss on fair value measurement</w:t>
            </w:r>
          </w:p>
        </w:tc>
        <w:tc>
          <w:tcPr>
            <w:tcW w:w="2160" w:type="dxa"/>
          </w:tcPr>
          <w:p w14:paraId="063170CB" w14:textId="31371263" w:rsidR="00594B4E" w:rsidRPr="00551B34" w:rsidRDefault="00594B4E" w:rsidP="00594B4E">
            <w:pPr>
              <w:pBdr>
                <w:bottom w:val="single" w:sz="4" w:space="1" w:color="auto"/>
              </w:pBdr>
              <w:tabs>
                <w:tab w:val="decimal" w:pos="1784"/>
              </w:tabs>
              <w:spacing w:line="380" w:lineRule="exact"/>
              <w:rPr>
                <w:rFonts w:ascii="Arial" w:hAnsi="Arial" w:cs="Arial"/>
                <w:sz w:val="22"/>
                <w:szCs w:val="22"/>
              </w:rPr>
            </w:pPr>
            <w:r w:rsidRPr="00551B34">
              <w:rPr>
                <w:rFonts w:ascii="Arial" w:hAnsi="Arial" w:cs="Arial"/>
                <w:sz w:val="22"/>
                <w:szCs w:val="22"/>
                <w:cs/>
              </w:rPr>
              <w:t>(1</w:t>
            </w:r>
            <w:r w:rsidRPr="00551B34">
              <w:rPr>
                <w:rFonts w:ascii="Arial" w:hAnsi="Arial" w:cs="Arial"/>
                <w:sz w:val="22"/>
                <w:szCs w:val="22"/>
              </w:rPr>
              <w:t>,</w:t>
            </w:r>
            <w:r w:rsidRPr="00551B34">
              <w:rPr>
                <w:rFonts w:ascii="Arial" w:hAnsi="Arial" w:cs="Arial"/>
                <w:sz w:val="22"/>
                <w:szCs w:val="22"/>
                <w:cs/>
              </w:rPr>
              <w:t>005)</w:t>
            </w:r>
          </w:p>
        </w:tc>
      </w:tr>
      <w:tr w:rsidR="00594B4E" w:rsidRPr="00551B34" w14:paraId="52FB0E1C" w14:textId="77777777" w:rsidTr="0019062F">
        <w:trPr>
          <w:cantSplit/>
        </w:trPr>
        <w:tc>
          <w:tcPr>
            <w:tcW w:w="6930" w:type="dxa"/>
          </w:tcPr>
          <w:p w14:paraId="4DA6A632" w14:textId="77777777" w:rsidR="00594B4E" w:rsidRPr="00551B34" w:rsidRDefault="00594B4E" w:rsidP="00594B4E">
            <w:pPr>
              <w:spacing w:line="380" w:lineRule="exact"/>
              <w:rPr>
                <w:rFonts w:ascii="Arial" w:eastAsia="Arial Unicode MS" w:hAnsi="Arial" w:cs="Arial"/>
                <w:sz w:val="22"/>
                <w:szCs w:val="22"/>
              </w:rPr>
            </w:pPr>
            <w:r w:rsidRPr="00551B34">
              <w:rPr>
                <w:rFonts w:ascii="Arial" w:eastAsia="Arial Unicode MS" w:hAnsi="Arial" w:cs="Arial"/>
                <w:sz w:val="22"/>
                <w:szCs w:val="22"/>
              </w:rPr>
              <w:t>Investments in leasehold right over properties at end of the period</w:t>
            </w:r>
          </w:p>
        </w:tc>
        <w:tc>
          <w:tcPr>
            <w:tcW w:w="2160" w:type="dxa"/>
          </w:tcPr>
          <w:p w14:paraId="0D42B3DE" w14:textId="28C91E9B" w:rsidR="00594B4E" w:rsidRPr="00551B34" w:rsidRDefault="00594B4E" w:rsidP="00594B4E">
            <w:pPr>
              <w:pBdr>
                <w:bottom w:val="double" w:sz="4" w:space="1" w:color="auto"/>
              </w:pBdr>
              <w:tabs>
                <w:tab w:val="decimal" w:pos="1784"/>
              </w:tabs>
              <w:spacing w:line="380" w:lineRule="exact"/>
              <w:rPr>
                <w:rFonts w:ascii="Arial" w:hAnsi="Arial" w:cs="Arial"/>
                <w:sz w:val="22"/>
                <w:szCs w:val="22"/>
              </w:rPr>
            </w:pPr>
            <w:r w:rsidRPr="00551B34">
              <w:rPr>
                <w:rFonts w:ascii="Arial" w:hAnsi="Arial" w:cs="Arial"/>
                <w:sz w:val="22"/>
                <w:szCs w:val="22"/>
                <w:cs/>
              </w:rPr>
              <w:t>9</w:t>
            </w:r>
            <w:r w:rsidRPr="00551B34">
              <w:rPr>
                <w:rFonts w:ascii="Arial" w:hAnsi="Arial" w:cs="Arial"/>
                <w:sz w:val="22"/>
                <w:szCs w:val="22"/>
              </w:rPr>
              <w:t>,</w:t>
            </w:r>
            <w:r w:rsidRPr="00551B34">
              <w:rPr>
                <w:rFonts w:ascii="Arial" w:hAnsi="Arial" w:cs="Arial"/>
                <w:sz w:val="22"/>
                <w:szCs w:val="22"/>
                <w:cs/>
              </w:rPr>
              <w:t>054</w:t>
            </w:r>
            <w:r w:rsidRPr="00551B34">
              <w:rPr>
                <w:rFonts w:ascii="Arial" w:hAnsi="Arial" w:cs="Arial"/>
                <w:sz w:val="22"/>
                <w:szCs w:val="22"/>
              </w:rPr>
              <w:t>,</w:t>
            </w:r>
            <w:r w:rsidRPr="00551B34">
              <w:rPr>
                <w:rFonts w:ascii="Arial" w:hAnsi="Arial" w:cs="Arial"/>
                <w:sz w:val="22"/>
                <w:szCs w:val="22"/>
                <w:cs/>
              </w:rPr>
              <w:t>449</w:t>
            </w:r>
          </w:p>
        </w:tc>
      </w:tr>
    </w:tbl>
    <w:p w14:paraId="6763DFC7" w14:textId="64FF1053" w:rsidR="00580A48" w:rsidRPr="00551B34" w:rsidRDefault="00A64906" w:rsidP="00E30885">
      <w:pPr>
        <w:spacing w:before="240" w:after="120" w:line="380" w:lineRule="exact"/>
        <w:ind w:left="547"/>
        <w:jc w:val="thaiDistribute"/>
        <w:rPr>
          <w:rFonts w:ascii="Arial" w:hAnsi="Arial" w:cs="Arial"/>
          <w:sz w:val="22"/>
          <w:szCs w:val="22"/>
        </w:rPr>
      </w:pPr>
      <w:r w:rsidRPr="00551B34">
        <w:rPr>
          <w:rFonts w:ascii="Arial" w:hAnsi="Arial" w:cs="Arial"/>
          <w:color w:val="000000"/>
          <w:sz w:val="22"/>
          <w:szCs w:val="22"/>
        </w:rPr>
        <w:t xml:space="preserve">As </w:t>
      </w:r>
      <w:proofErr w:type="gramStart"/>
      <w:r w:rsidRPr="00551B34">
        <w:rPr>
          <w:rFonts w:ascii="Arial" w:hAnsi="Arial" w:cs="Arial"/>
          <w:color w:val="000000"/>
          <w:sz w:val="22"/>
          <w:szCs w:val="22"/>
        </w:rPr>
        <w:t>at</w:t>
      </w:r>
      <w:proofErr w:type="gramEnd"/>
      <w:r w:rsidRPr="00551B34">
        <w:rPr>
          <w:rFonts w:ascii="Arial" w:hAnsi="Arial" w:cs="Arial"/>
          <w:color w:val="000000"/>
          <w:sz w:val="22"/>
          <w:szCs w:val="22"/>
        </w:rPr>
        <w:t xml:space="preserve"> </w:t>
      </w:r>
      <w:r w:rsidR="00CA7822" w:rsidRPr="00551B34">
        <w:rPr>
          <w:rFonts w:ascii="Arial" w:hAnsi="Arial" w:cs="Arial"/>
          <w:color w:val="000000"/>
          <w:sz w:val="22"/>
          <w:szCs w:val="22"/>
        </w:rPr>
        <w:t>31 March 202</w:t>
      </w:r>
      <w:r w:rsidR="008131AC" w:rsidRPr="00551B34">
        <w:rPr>
          <w:rFonts w:ascii="Arial" w:hAnsi="Arial" w:cs="Arial"/>
          <w:color w:val="000000"/>
          <w:sz w:val="22"/>
          <w:szCs w:val="22"/>
        </w:rPr>
        <w:t>5</w:t>
      </w:r>
      <w:r w:rsidRPr="00551B34">
        <w:rPr>
          <w:rFonts w:ascii="Arial" w:hAnsi="Arial" w:cs="Arial"/>
          <w:color w:val="000000"/>
          <w:sz w:val="22"/>
          <w:szCs w:val="22"/>
        </w:rPr>
        <w:t>, t</w:t>
      </w:r>
      <w:r w:rsidR="00347BC2" w:rsidRPr="00551B34">
        <w:rPr>
          <w:rFonts w:ascii="Arial" w:hAnsi="Arial" w:cs="Arial"/>
          <w:color w:val="000000"/>
          <w:sz w:val="22"/>
          <w:szCs w:val="22"/>
        </w:rPr>
        <w:t xml:space="preserve">he Trust has mortgaged </w:t>
      </w:r>
      <w:r w:rsidR="0025234B" w:rsidRPr="00551B34">
        <w:rPr>
          <w:rFonts w:ascii="Arial" w:hAnsi="Arial" w:cs="Arial"/>
          <w:color w:val="000000"/>
          <w:sz w:val="22"/>
          <w:szCs w:val="22"/>
        </w:rPr>
        <w:t>i</w:t>
      </w:r>
      <w:r w:rsidR="00D33267" w:rsidRPr="00551B34">
        <w:rPr>
          <w:rFonts w:ascii="Arial" w:hAnsi="Arial" w:cs="Arial"/>
          <w:color w:val="000000"/>
          <w:sz w:val="22"/>
          <w:szCs w:val="22"/>
        </w:rPr>
        <w:t>nvestment</w:t>
      </w:r>
      <w:r w:rsidR="004B060B" w:rsidRPr="00551B34">
        <w:rPr>
          <w:rFonts w:ascii="Arial" w:hAnsi="Arial" w:cs="Arial"/>
          <w:color w:val="000000"/>
          <w:sz w:val="22"/>
          <w:szCs w:val="22"/>
        </w:rPr>
        <w:t>s</w:t>
      </w:r>
      <w:r w:rsidR="00D33267" w:rsidRPr="00551B34">
        <w:rPr>
          <w:rFonts w:ascii="Arial" w:hAnsi="Arial" w:cs="Arial"/>
          <w:color w:val="000000"/>
          <w:sz w:val="22"/>
          <w:szCs w:val="22"/>
        </w:rPr>
        <w:t xml:space="preserve"> in leasehold right over propert</w:t>
      </w:r>
      <w:r w:rsidR="00BA5875" w:rsidRPr="00551B34">
        <w:rPr>
          <w:rFonts w:ascii="Arial" w:hAnsi="Arial" w:cs="Arial"/>
          <w:color w:val="000000"/>
          <w:sz w:val="22"/>
          <w:szCs w:val="22"/>
        </w:rPr>
        <w:t>ies</w:t>
      </w:r>
      <w:r w:rsidR="009C43DC" w:rsidRPr="00551B34">
        <w:rPr>
          <w:rFonts w:ascii="Arial" w:hAnsi="Arial" w:cs="Arial"/>
          <w:sz w:val="22"/>
          <w:szCs w:val="22"/>
        </w:rPr>
        <w:t xml:space="preserve"> </w:t>
      </w:r>
      <w:r w:rsidR="009C5E40" w:rsidRPr="00551B34">
        <w:rPr>
          <w:rFonts w:ascii="Arial" w:hAnsi="Arial" w:cs="Arial"/>
          <w:sz w:val="22"/>
          <w:szCs w:val="22"/>
        </w:rPr>
        <w:t xml:space="preserve">as </w:t>
      </w:r>
      <w:r w:rsidR="009C43DC" w:rsidRPr="00551B34">
        <w:rPr>
          <w:rFonts w:ascii="Arial" w:hAnsi="Arial" w:cs="Arial"/>
          <w:sz w:val="22"/>
          <w:szCs w:val="22"/>
        </w:rPr>
        <w:t>collateral</w:t>
      </w:r>
      <w:r w:rsidR="009C5E40" w:rsidRPr="00551B34">
        <w:rPr>
          <w:rFonts w:ascii="Arial" w:hAnsi="Arial" w:cs="Arial"/>
          <w:sz w:val="22"/>
          <w:szCs w:val="22"/>
        </w:rPr>
        <w:t xml:space="preserve"> </w:t>
      </w:r>
      <w:r w:rsidR="00C80641" w:rsidRPr="00551B34">
        <w:rPr>
          <w:rFonts w:ascii="Arial" w:hAnsi="Arial" w:cs="Arial"/>
          <w:sz w:val="22"/>
          <w:szCs w:val="22"/>
        </w:rPr>
        <w:t xml:space="preserve">against business security </w:t>
      </w:r>
      <w:r w:rsidR="009C5E40" w:rsidRPr="00551B34">
        <w:rPr>
          <w:rFonts w:ascii="Arial" w:hAnsi="Arial" w:cs="Arial"/>
          <w:sz w:val="22"/>
          <w:szCs w:val="22"/>
        </w:rPr>
        <w:t>from a financial institution</w:t>
      </w:r>
      <w:r w:rsidR="00C80641" w:rsidRPr="00551B34">
        <w:rPr>
          <w:rFonts w:ascii="Arial" w:hAnsi="Arial" w:cs="Arial"/>
          <w:sz w:val="22"/>
          <w:szCs w:val="22"/>
        </w:rPr>
        <w:t xml:space="preserve">, as described in Note </w:t>
      </w:r>
      <w:r w:rsidR="00F367D3" w:rsidRPr="00551B34">
        <w:rPr>
          <w:rFonts w:ascii="Arial" w:hAnsi="Arial" w:cs="Arial"/>
          <w:sz w:val="22"/>
          <w:szCs w:val="22"/>
        </w:rPr>
        <w:t>6</w:t>
      </w:r>
      <w:r w:rsidR="009C43DC" w:rsidRPr="00551B34">
        <w:rPr>
          <w:rFonts w:ascii="Arial" w:hAnsi="Arial" w:cs="Arial"/>
          <w:sz w:val="22"/>
          <w:szCs w:val="22"/>
        </w:rPr>
        <w:t>.</w:t>
      </w:r>
    </w:p>
    <w:p w14:paraId="7D8CB99E" w14:textId="432F1B86" w:rsidR="00BA5875" w:rsidRPr="00551B34" w:rsidRDefault="00BA5875" w:rsidP="002C225F">
      <w:pPr>
        <w:pStyle w:val="ListParagraph"/>
        <w:numPr>
          <w:ilvl w:val="0"/>
          <w:numId w:val="5"/>
        </w:numPr>
        <w:tabs>
          <w:tab w:val="left" w:pos="540"/>
        </w:tabs>
        <w:spacing w:before="120" w:after="240" w:line="380" w:lineRule="exact"/>
        <w:ind w:left="547" w:hanging="547"/>
        <w:rPr>
          <w:rFonts w:ascii="Arial" w:hAnsi="Arial" w:cs="Arial"/>
          <w:b/>
          <w:bCs/>
          <w:sz w:val="22"/>
          <w:szCs w:val="22"/>
        </w:rPr>
      </w:pPr>
      <w:r w:rsidRPr="00551B34">
        <w:rPr>
          <w:rFonts w:ascii="Arial" w:hAnsi="Arial" w:cs="Arial"/>
          <w:b/>
          <w:bCs/>
          <w:sz w:val="22"/>
          <w:szCs w:val="22"/>
        </w:rPr>
        <w:t xml:space="preserve">Investments </w:t>
      </w:r>
      <w:r w:rsidR="00EC61EA" w:rsidRPr="00551B34">
        <w:rPr>
          <w:rFonts w:ascii="Arial" w:hAnsi="Arial" w:cs="Arial"/>
          <w:b/>
          <w:bCs/>
          <w:sz w:val="22"/>
          <w:szCs w:val="22"/>
        </w:rPr>
        <w:t xml:space="preserve">in securities </w:t>
      </w:r>
      <w:r w:rsidRPr="00551B34">
        <w:rPr>
          <w:rFonts w:ascii="Arial" w:hAnsi="Arial" w:cs="Arial"/>
          <w:b/>
          <w:bCs/>
          <w:sz w:val="22"/>
          <w:szCs w:val="22"/>
        </w:rPr>
        <w:t>at fair value through profit or loss</w:t>
      </w:r>
    </w:p>
    <w:tbl>
      <w:tblPr>
        <w:tblW w:w="9183" w:type="dxa"/>
        <w:tblInd w:w="360" w:type="dxa"/>
        <w:tblLayout w:type="fixed"/>
        <w:tblLook w:val="0000" w:firstRow="0" w:lastRow="0" w:firstColumn="0" w:lastColumn="0" w:noHBand="0" w:noVBand="0"/>
      </w:tblPr>
      <w:tblGrid>
        <w:gridCol w:w="7020"/>
        <w:gridCol w:w="2163"/>
      </w:tblGrid>
      <w:tr w:rsidR="00BA5875" w:rsidRPr="00551B34" w14:paraId="69761169" w14:textId="77777777" w:rsidTr="00C270A0">
        <w:trPr>
          <w:cantSplit/>
          <w:trHeight w:val="87"/>
        </w:trPr>
        <w:tc>
          <w:tcPr>
            <w:tcW w:w="9183" w:type="dxa"/>
            <w:gridSpan w:val="2"/>
          </w:tcPr>
          <w:p w14:paraId="1AB9EAEC" w14:textId="77777777" w:rsidR="00BA5875" w:rsidRPr="00551B34" w:rsidRDefault="00BA5875" w:rsidP="002C225F">
            <w:pPr>
              <w:spacing w:line="380" w:lineRule="exact"/>
              <w:jc w:val="right"/>
              <w:rPr>
                <w:rFonts w:ascii="Arial" w:hAnsi="Arial" w:cs="Arial"/>
                <w:b/>
                <w:bCs/>
                <w:sz w:val="22"/>
                <w:szCs w:val="22"/>
                <w:cs/>
              </w:rPr>
            </w:pPr>
            <w:r w:rsidRPr="00551B34">
              <w:rPr>
                <w:rFonts w:ascii="Arial" w:hAnsi="Arial" w:cs="Arial"/>
                <w:sz w:val="22"/>
                <w:szCs w:val="22"/>
              </w:rPr>
              <w:t>(Unit: Thousand Baht)</w:t>
            </w:r>
          </w:p>
        </w:tc>
      </w:tr>
      <w:tr w:rsidR="00BA5875" w:rsidRPr="00551B34" w14:paraId="32D846DD" w14:textId="77777777" w:rsidTr="00A14499">
        <w:trPr>
          <w:cantSplit/>
          <w:trHeight w:val="87"/>
        </w:trPr>
        <w:tc>
          <w:tcPr>
            <w:tcW w:w="7020" w:type="dxa"/>
          </w:tcPr>
          <w:p w14:paraId="7186D364" w14:textId="77777777" w:rsidR="00BA5875" w:rsidRPr="00551B34" w:rsidRDefault="00BA5875" w:rsidP="002C225F">
            <w:pPr>
              <w:tabs>
                <w:tab w:val="left" w:pos="342"/>
                <w:tab w:val="left" w:pos="522"/>
              </w:tabs>
              <w:spacing w:line="380" w:lineRule="exact"/>
              <w:jc w:val="both"/>
              <w:rPr>
                <w:rFonts w:ascii="Arial" w:hAnsi="Arial" w:cs="Arial"/>
                <w:b/>
                <w:bCs/>
                <w:sz w:val="22"/>
                <w:szCs w:val="22"/>
                <w:cs/>
              </w:rPr>
            </w:pPr>
          </w:p>
        </w:tc>
        <w:tc>
          <w:tcPr>
            <w:tcW w:w="2163" w:type="dxa"/>
            <w:vAlign w:val="bottom"/>
          </w:tcPr>
          <w:p w14:paraId="5C6892E5" w14:textId="7DF90214" w:rsidR="00BA5875" w:rsidRPr="00551B34" w:rsidRDefault="00CA7822" w:rsidP="002C225F">
            <w:pPr>
              <w:pBdr>
                <w:bottom w:val="single" w:sz="4" w:space="1" w:color="auto"/>
              </w:pBdr>
              <w:spacing w:line="380" w:lineRule="exact"/>
              <w:jc w:val="center"/>
              <w:rPr>
                <w:rFonts w:ascii="Arial" w:hAnsi="Arial" w:cs="Arial"/>
                <w:sz w:val="22"/>
                <w:szCs w:val="22"/>
              </w:rPr>
            </w:pPr>
            <w:r w:rsidRPr="00551B34">
              <w:rPr>
                <w:rFonts w:ascii="Arial" w:hAnsi="Arial" w:cs="Arial"/>
                <w:sz w:val="22"/>
                <w:szCs w:val="22"/>
              </w:rPr>
              <w:t>31 March 202</w:t>
            </w:r>
            <w:r w:rsidR="008131AC" w:rsidRPr="00551B34">
              <w:rPr>
                <w:rFonts w:ascii="Arial" w:hAnsi="Arial" w:cs="Arial"/>
                <w:sz w:val="22"/>
                <w:szCs w:val="22"/>
              </w:rPr>
              <w:t>5</w:t>
            </w:r>
          </w:p>
        </w:tc>
      </w:tr>
      <w:tr w:rsidR="00A14499" w:rsidRPr="00551B34" w14:paraId="645F1503" w14:textId="77777777" w:rsidTr="00A14499">
        <w:trPr>
          <w:cantSplit/>
          <w:trHeight w:val="324"/>
        </w:trPr>
        <w:tc>
          <w:tcPr>
            <w:tcW w:w="7020" w:type="dxa"/>
            <w:vAlign w:val="center"/>
          </w:tcPr>
          <w:p w14:paraId="2E2366CD" w14:textId="77777777" w:rsidR="00A14499" w:rsidRPr="00551B34" w:rsidRDefault="00A14499" w:rsidP="00A14499">
            <w:pPr>
              <w:tabs>
                <w:tab w:val="left" w:pos="342"/>
                <w:tab w:val="left" w:pos="522"/>
              </w:tabs>
              <w:spacing w:line="380" w:lineRule="exact"/>
              <w:ind w:left="810" w:hanging="720"/>
              <w:rPr>
                <w:rFonts w:ascii="Arial" w:hAnsi="Arial" w:cs="Arial"/>
                <w:sz w:val="22"/>
                <w:szCs w:val="22"/>
                <w:cs/>
              </w:rPr>
            </w:pPr>
            <w:r w:rsidRPr="00551B34">
              <w:rPr>
                <w:rFonts w:ascii="Arial" w:eastAsia="Arial Unicode MS" w:hAnsi="Arial" w:cs="Arial"/>
                <w:sz w:val="22"/>
                <w:szCs w:val="22"/>
              </w:rPr>
              <w:t>At the beginning of the period</w:t>
            </w:r>
          </w:p>
        </w:tc>
        <w:tc>
          <w:tcPr>
            <w:tcW w:w="2163" w:type="dxa"/>
          </w:tcPr>
          <w:p w14:paraId="1F2B8A23" w14:textId="744C5EDF" w:rsidR="00A14499" w:rsidRPr="00551B34" w:rsidRDefault="00A14499" w:rsidP="00A14499">
            <w:pPr>
              <w:tabs>
                <w:tab w:val="decimal" w:pos="1784"/>
              </w:tabs>
              <w:spacing w:line="380" w:lineRule="exact"/>
              <w:rPr>
                <w:rFonts w:ascii="Arial" w:hAnsi="Arial" w:cs="Arial"/>
                <w:sz w:val="22"/>
                <w:szCs w:val="22"/>
              </w:rPr>
            </w:pPr>
            <w:r w:rsidRPr="00551B34">
              <w:rPr>
                <w:rFonts w:ascii="Arial" w:hAnsi="Arial" w:cs="Arial"/>
                <w:sz w:val="22"/>
                <w:szCs w:val="22"/>
                <w:cs/>
              </w:rPr>
              <w:t>564</w:t>
            </w:r>
            <w:r w:rsidRPr="00551B34">
              <w:rPr>
                <w:rFonts w:ascii="Arial" w:hAnsi="Arial" w:cs="Arial"/>
                <w:sz w:val="22"/>
                <w:szCs w:val="22"/>
              </w:rPr>
              <w:t>,</w:t>
            </w:r>
            <w:r w:rsidRPr="00551B34">
              <w:rPr>
                <w:rFonts w:ascii="Arial" w:hAnsi="Arial" w:cs="Arial"/>
                <w:sz w:val="22"/>
                <w:szCs w:val="22"/>
                <w:cs/>
              </w:rPr>
              <w:t>185</w:t>
            </w:r>
          </w:p>
        </w:tc>
      </w:tr>
      <w:tr w:rsidR="00A14499" w:rsidRPr="00551B34" w14:paraId="3EACE466" w14:textId="77777777" w:rsidTr="00A14499">
        <w:trPr>
          <w:cantSplit/>
          <w:trHeight w:val="324"/>
        </w:trPr>
        <w:tc>
          <w:tcPr>
            <w:tcW w:w="7020" w:type="dxa"/>
            <w:vAlign w:val="center"/>
          </w:tcPr>
          <w:p w14:paraId="0D375123" w14:textId="38CFA3A4" w:rsidR="00A14499" w:rsidRPr="00551B34" w:rsidRDefault="00A14499" w:rsidP="00A14499">
            <w:pPr>
              <w:tabs>
                <w:tab w:val="left" w:pos="342"/>
                <w:tab w:val="left" w:pos="522"/>
              </w:tabs>
              <w:spacing w:line="380" w:lineRule="exact"/>
              <w:ind w:left="810" w:hanging="720"/>
              <w:rPr>
                <w:rFonts w:ascii="Arial" w:eastAsia="Arial Unicode MS" w:hAnsi="Arial" w:cs="Arial"/>
                <w:sz w:val="22"/>
                <w:szCs w:val="22"/>
              </w:rPr>
            </w:pPr>
            <w:r w:rsidRPr="00551B34">
              <w:rPr>
                <w:rFonts w:ascii="Arial" w:eastAsia="Arial Unicode MS" w:hAnsi="Arial" w:cs="Arial"/>
                <w:sz w:val="22"/>
                <w:szCs w:val="22"/>
              </w:rPr>
              <w:t xml:space="preserve">Purchase </w:t>
            </w:r>
            <w:r w:rsidR="00994892">
              <w:rPr>
                <w:rFonts w:ascii="Arial" w:eastAsia="Arial Unicode MS" w:hAnsi="Arial" w:cs="Arial"/>
                <w:sz w:val="22"/>
                <w:szCs w:val="22"/>
              </w:rPr>
              <w:t xml:space="preserve">(sale) </w:t>
            </w:r>
            <w:r w:rsidRPr="00551B34">
              <w:rPr>
                <w:rFonts w:ascii="Arial" w:eastAsia="Arial Unicode MS" w:hAnsi="Arial" w:cs="Arial"/>
                <w:sz w:val="22"/>
                <w:szCs w:val="22"/>
              </w:rPr>
              <w:t>of investments during the period</w:t>
            </w:r>
          </w:p>
        </w:tc>
        <w:tc>
          <w:tcPr>
            <w:tcW w:w="2163" w:type="dxa"/>
          </w:tcPr>
          <w:p w14:paraId="1E305155" w14:textId="30E0763E" w:rsidR="00A14499" w:rsidRPr="00551B34" w:rsidRDefault="00A14499" w:rsidP="00A14499">
            <w:pPr>
              <w:tabs>
                <w:tab w:val="decimal" w:pos="1784"/>
              </w:tabs>
              <w:spacing w:line="380" w:lineRule="exact"/>
              <w:rPr>
                <w:rFonts w:ascii="Arial" w:hAnsi="Arial" w:cs="Arial"/>
                <w:sz w:val="22"/>
                <w:szCs w:val="22"/>
              </w:rPr>
            </w:pPr>
            <w:r w:rsidRPr="00551B34">
              <w:rPr>
                <w:rFonts w:ascii="Arial" w:hAnsi="Arial" w:cs="Arial"/>
                <w:sz w:val="22"/>
                <w:szCs w:val="22"/>
                <w:cs/>
              </w:rPr>
              <w:t>(30</w:t>
            </w:r>
            <w:r w:rsidRPr="00551B34">
              <w:rPr>
                <w:rFonts w:ascii="Arial" w:hAnsi="Arial" w:cs="Arial"/>
                <w:sz w:val="22"/>
                <w:szCs w:val="22"/>
              </w:rPr>
              <w:t>,</w:t>
            </w:r>
            <w:r w:rsidRPr="00551B34">
              <w:rPr>
                <w:rFonts w:ascii="Arial" w:hAnsi="Arial" w:cs="Arial"/>
                <w:sz w:val="22"/>
                <w:szCs w:val="22"/>
                <w:cs/>
              </w:rPr>
              <w:t>413)</w:t>
            </w:r>
          </w:p>
        </w:tc>
      </w:tr>
      <w:tr w:rsidR="00A14499" w:rsidRPr="00551B34" w14:paraId="0CDD12BC" w14:textId="77777777" w:rsidTr="00A14499">
        <w:trPr>
          <w:cantSplit/>
        </w:trPr>
        <w:tc>
          <w:tcPr>
            <w:tcW w:w="7020" w:type="dxa"/>
            <w:vAlign w:val="center"/>
          </w:tcPr>
          <w:p w14:paraId="529CC2C3" w14:textId="5F3A7445" w:rsidR="00A14499" w:rsidRPr="00551B34" w:rsidRDefault="00A14499" w:rsidP="00A14499">
            <w:pPr>
              <w:tabs>
                <w:tab w:val="left" w:pos="342"/>
                <w:tab w:val="left" w:pos="522"/>
              </w:tabs>
              <w:spacing w:line="380" w:lineRule="exact"/>
              <w:ind w:left="810" w:hanging="720"/>
              <w:rPr>
                <w:rFonts w:ascii="Arial" w:hAnsi="Arial" w:cs="Arial"/>
                <w:sz w:val="22"/>
                <w:szCs w:val="22"/>
                <w:cs/>
              </w:rPr>
            </w:pPr>
            <w:r w:rsidRPr="00551B34">
              <w:rPr>
                <w:rFonts w:ascii="Arial" w:eastAsia="Arial Unicode MS" w:hAnsi="Arial" w:cs="Arial"/>
                <w:sz w:val="22"/>
                <w:szCs w:val="22"/>
              </w:rPr>
              <w:t>Net gain on change in fair value</w:t>
            </w:r>
          </w:p>
        </w:tc>
        <w:tc>
          <w:tcPr>
            <w:tcW w:w="2163" w:type="dxa"/>
          </w:tcPr>
          <w:p w14:paraId="62E88256" w14:textId="2E24EB49" w:rsidR="00A14499" w:rsidRPr="00551B34" w:rsidRDefault="00A14499" w:rsidP="00A14499">
            <w:pPr>
              <w:pBdr>
                <w:bottom w:val="single" w:sz="4" w:space="1" w:color="auto"/>
              </w:pBdr>
              <w:tabs>
                <w:tab w:val="decimal" w:pos="1784"/>
              </w:tabs>
              <w:spacing w:line="380" w:lineRule="exact"/>
              <w:rPr>
                <w:rFonts w:ascii="Arial" w:hAnsi="Arial" w:cs="Arial"/>
                <w:sz w:val="22"/>
                <w:szCs w:val="22"/>
              </w:rPr>
            </w:pPr>
            <w:r w:rsidRPr="00551B34">
              <w:rPr>
                <w:rFonts w:ascii="Arial" w:hAnsi="Arial" w:cs="Arial"/>
                <w:sz w:val="22"/>
                <w:szCs w:val="22"/>
              </w:rPr>
              <w:t>2,789</w:t>
            </w:r>
          </w:p>
        </w:tc>
      </w:tr>
      <w:tr w:rsidR="00A14499" w:rsidRPr="00551B34" w14:paraId="1AD511D5" w14:textId="77777777" w:rsidTr="00A14499">
        <w:trPr>
          <w:cantSplit/>
        </w:trPr>
        <w:tc>
          <w:tcPr>
            <w:tcW w:w="7020" w:type="dxa"/>
          </w:tcPr>
          <w:p w14:paraId="18246295" w14:textId="77777777" w:rsidR="00A14499" w:rsidRPr="00551B34" w:rsidRDefault="00A14499" w:rsidP="00A14499">
            <w:pPr>
              <w:spacing w:line="380" w:lineRule="exact"/>
              <w:ind w:left="612" w:hanging="534"/>
              <w:rPr>
                <w:rFonts w:ascii="Arial" w:eastAsia="Arial Unicode MS" w:hAnsi="Arial" w:cs="Arial"/>
                <w:sz w:val="22"/>
                <w:szCs w:val="22"/>
              </w:rPr>
            </w:pPr>
            <w:r w:rsidRPr="00551B34">
              <w:rPr>
                <w:rFonts w:ascii="Arial" w:eastAsia="Arial Unicode MS" w:hAnsi="Arial" w:cs="Arial"/>
                <w:sz w:val="22"/>
                <w:szCs w:val="22"/>
              </w:rPr>
              <w:t>At the end of the period</w:t>
            </w:r>
          </w:p>
        </w:tc>
        <w:tc>
          <w:tcPr>
            <w:tcW w:w="2163" w:type="dxa"/>
          </w:tcPr>
          <w:p w14:paraId="46E6AF04" w14:textId="5963234A" w:rsidR="00A14499" w:rsidRPr="00551B34" w:rsidRDefault="00A14499" w:rsidP="00A14499">
            <w:pPr>
              <w:pBdr>
                <w:bottom w:val="double" w:sz="4" w:space="1" w:color="auto"/>
              </w:pBdr>
              <w:tabs>
                <w:tab w:val="decimal" w:pos="1784"/>
              </w:tabs>
              <w:spacing w:line="380" w:lineRule="exact"/>
              <w:rPr>
                <w:rFonts w:ascii="Arial" w:hAnsi="Arial" w:cs="Arial"/>
                <w:sz w:val="22"/>
                <w:szCs w:val="22"/>
              </w:rPr>
            </w:pPr>
            <w:r w:rsidRPr="00551B34">
              <w:rPr>
                <w:rFonts w:ascii="Arial" w:hAnsi="Arial" w:cs="Arial"/>
                <w:sz w:val="22"/>
                <w:szCs w:val="22"/>
              </w:rPr>
              <w:t>536,561</w:t>
            </w:r>
          </w:p>
        </w:tc>
      </w:tr>
    </w:tbl>
    <w:p w14:paraId="6AAADD81" w14:textId="64F4C4AF" w:rsidR="00026396" w:rsidRPr="00551B34" w:rsidRDefault="00347BC2" w:rsidP="004E6F6A">
      <w:pPr>
        <w:pStyle w:val="ListParagraph"/>
        <w:numPr>
          <w:ilvl w:val="0"/>
          <w:numId w:val="5"/>
        </w:numPr>
        <w:tabs>
          <w:tab w:val="left" w:pos="540"/>
        </w:tabs>
        <w:spacing w:before="240" w:after="120" w:line="380" w:lineRule="exact"/>
        <w:ind w:left="547" w:hanging="547"/>
        <w:contextualSpacing w:val="0"/>
        <w:rPr>
          <w:rFonts w:ascii="Arial" w:hAnsi="Arial" w:cs="Arial"/>
          <w:b/>
          <w:bCs/>
          <w:sz w:val="22"/>
          <w:szCs w:val="22"/>
        </w:rPr>
      </w:pPr>
      <w:r w:rsidRPr="00551B34">
        <w:rPr>
          <w:rFonts w:ascii="Arial" w:hAnsi="Arial" w:cs="Arial"/>
          <w:b/>
          <w:bCs/>
          <w:sz w:val="22"/>
          <w:szCs w:val="22"/>
        </w:rPr>
        <w:t>Long-term loan</w:t>
      </w:r>
      <w:r w:rsidR="00BA5875" w:rsidRPr="00551B34">
        <w:rPr>
          <w:rFonts w:ascii="Arial" w:hAnsi="Arial" w:cs="Arial"/>
          <w:b/>
          <w:bCs/>
          <w:sz w:val="22"/>
          <w:szCs w:val="22"/>
        </w:rPr>
        <w:t>s</w:t>
      </w:r>
      <w:r w:rsidR="00AA31AB" w:rsidRPr="00551B34">
        <w:rPr>
          <w:rFonts w:ascii="Arial" w:hAnsi="Arial" w:cs="Arial"/>
          <w:b/>
          <w:bCs/>
          <w:sz w:val="22"/>
          <w:szCs w:val="22"/>
        </w:rPr>
        <w:t xml:space="preserve"> from financial institution</w:t>
      </w:r>
    </w:p>
    <w:p w14:paraId="38007B13" w14:textId="013A384E" w:rsidR="00347BC2" w:rsidRPr="00551B34" w:rsidRDefault="00347BC2" w:rsidP="00DB6C03">
      <w:pPr>
        <w:pStyle w:val="Heading8"/>
        <w:spacing w:before="120" w:after="120" w:line="380" w:lineRule="exact"/>
        <w:ind w:left="547"/>
        <w:rPr>
          <w:rFonts w:ascii="Arial" w:eastAsia="Arial Unicode MS" w:hAnsi="Arial" w:cs="Arial"/>
          <w:sz w:val="22"/>
          <w:szCs w:val="22"/>
        </w:rPr>
      </w:pPr>
      <w:r w:rsidRPr="00551B34">
        <w:rPr>
          <w:rFonts w:ascii="Arial" w:eastAsia="Arial Unicode MS" w:hAnsi="Arial" w:cs="Arial"/>
          <w:sz w:val="22"/>
          <w:szCs w:val="22"/>
        </w:rPr>
        <w:t xml:space="preserve">As </w:t>
      </w:r>
      <w:proofErr w:type="gramStart"/>
      <w:r w:rsidRPr="00551B34">
        <w:rPr>
          <w:rFonts w:ascii="Arial" w:eastAsia="Arial Unicode MS" w:hAnsi="Arial" w:cs="Arial"/>
          <w:sz w:val="22"/>
          <w:szCs w:val="22"/>
        </w:rPr>
        <w:t>at</w:t>
      </w:r>
      <w:proofErr w:type="gramEnd"/>
      <w:r w:rsidRPr="00551B34">
        <w:rPr>
          <w:rFonts w:ascii="Arial" w:eastAsia="Arial Unicode MS" w:hAnsi="Arial" w:cs="Arial"/>
          <w:sz w:val="22"/>
          <w:szCs w:val="22"/>
        </w:rPr>
        <w:t xml:space="preserve"> </w:t>
      </w:r>
      <w:r w:rsidR="00CA7822" w:rsidRPr="00551B34">
        <w:rPr>
          <w:rFonts w:ascii="Arial" w:hAnsi="Arial" w:cs="Arial"/>
          <w:spacing w:val="-4"/>
          <w:sz w:val="22"/>
          <w:szCs w:val="22"/>
        </w:rPr>
        <w:t>31 March 202</w:t>
      </w:r>
      <w:r w:rsidR="008131AC" w:rsidRPr="00551B34">
        <w:rPr>
          <w:rFonts w:ascii="Arial" w:hAnsi="Arial" w:cs="Arial"/>
          <w:spacing w:val="-4"/>
          <w:sz w:val="22"/>
          <w:szCs w:val="22"/>
        </w:rPr>
        <w:t>5</w:t>
      </w:r>
      <w:r w:rsidRPr="00551B34">
        <w:rPr>
          <w:rFonts w:ascii="Arial" w:eastAsia="Arial Unicode MS" w:hAnsi="Arial" w:cs="Arial"/>
          <w:sz w:val="22"/>
          <w:szCs w:val="22"/>
        </w:rPr>
        <w:t>,</w:t>
      </w:r>
      <w:r w:rsidR="00B47AE5" w:rsidRPr="00551B34">
        <w:rPr>
          <w:rFonts w:ascii="Arial" w:eastAsia="Arial Unicode MS" w:hAnsi="Arial" w:cs="Arial"/>
          <w:sz w:val="22"/>
          <w:szCs w:val="22"/>
          <w:cs/>
        </w:rPr>
        <w:t xml:space="preserve"> </w:t>
      </w:r>
      <w:r w:rsidRPr="00551B34">
        <w:rPr>
          <w:rFonts w:ascii="Arial" w:eastAsia="Arial Unicode MS" w:hAnsi="Arial" w:cs="Arial"/>
          <w:sz w:val="22"/>
          <w:szCs w:val="22"/>
        </w:rPr>
        <w:t>long-term loan</w:t>
      </w:r>
      <w:r w:rsidR="00BA5875" w:rsidRPr="00551B34">
        <w:rPr>
          <w:rFonts w:ascii="Arial" w:eastAsia="Arial Unicode MS" w:hAnsi="Arial" w:cs="Arial"/>
          <w:sz w:val="22"/>
          <w:szCs w:val="22"/>
        </w:rPr>
        <w:t>s</w:t>
      </w:r>
      <w:r w:rsidRPr="00551B34">
        <w:rPr>
          <w:rFonts w:ascii="Arial" w:eastAsia="Arial Unicode MS" w:hAnsi="Arial" w:cs="Arial"/>
          <w:sz w:val="22"/>
          <w:szCs w:val="22"/>
        </w:rPr>
        <w:t xml:space="preserve"> from financial institution represent</w:t>
      </w:r>
      <w:r w:rsidR="008B7598" w:rsidRPr="00551B34">
        <w:rPr>
          <w:rFonts w:ascii="Arial" w:eastAsia="Arial Unicode MS" w:hAnsi="Arial" w:cs="Arial"/>
          <w:sz w:val="22"/>
          <w:szCs w:val="22"/>
        </w:rPr>
        <w:t>s</w:t>
      </w:r>
      <w:r w:rsidRPr="00551B34">
        <w:rPr>
          <w:rFonts w:ascii="Arial" w:eastAsia="Arial Unicode MS" w:hAnsi="Arial" w:cs="Arial"/>
          <w:sz w:val="22"/>
          <w:szCs w:val="22"/>
        </w:rPr>
        <w:t xml:space="preserve"> loan from </w:t>
      </w:r>
      <w:proofErr w:type="spellStart"/>
      <w:r w:rsidR="00C1235A" w:rsidRPr="00551B34">
        <w:rPr>
          <w:rFonts w:ascii="Arial" w:eastAsia="Arial Unicode MS" w:hAnsi="Arial" w:cs="Arial"/>
          <w:sz w:val="22"/>
          <w:szCs w:val="22"/>
        </w:rPr>
        <w:t>Kasikornbank</w:t>
      </w:r>
      <w:proofErr w:type="spellEnd"/>
      <w:r w:rsidR="00C1235A" w:rsidRPr="00551B34">
        <w:rPr>
          <w:rFonts w:ascii="Arial" w:eastAsia="Arial Unicode MS" w:hAnsi="Arial" w:cs="Arial"/>
          <w:sz w:val="22"/>
          <w:szCs w:val="22"/>
        </w:rPr>
        <w:t xml:space="preserve"> Public Company Limited</w:t>
      </w:r>
      <w:r w:rsidRPr="00551B34">
        <w:rPr>
          <w:rFonts w:ascii="Arial" w:eastAsia="Arial Unicode MS" w:hAnsi="Arial" w:cs="Arial"/>
          <w:sz w:val="22"/>
          <w:szCs w:val="22"/>
        </w:rPr>
        <w:t>, the parent company of the trustee. The details are as follows:</w:t>
      </w:r>
    </w:p>
    <w:tbl>
      <w:tblPr>
        <w:tblW w:w="9108" w:type="dxa"/>
        <w:tblInd w:w="450" w:type="dxa"/>
        <w:tblLayout w:type="fixed"/>
        <w:tblLook w:val="0000" w:firstRow="0" w:lastRow="0" w:firstColumn="0" w:lastColumn="0" w:noHBand="0" w:noVBand="0"/>
      </w:tblPr>
      <w:tblGrid>
        <w:gridCol w:w="4770"/>
        <w:gridCol w:w="2169"/>
        <w:gridCol w:w="2169"/>
      </w:tblGrid>
      <w:tr w:rsidR="00B7078E" w:rsidRPr="00551B34" w14:paraId="5C3F0A48" w14:textId="77777777" w:rsidTr="00CA7822">
        <w:trPr>
          <w:cantSplit/>
          <w:trHeight w:val="80"/>
        </w:trPr>
        <w:tc>
          <w:tcPr>
            <w:tcW w:w="9108" w:type="dxa"/>
            <w:gridSpan w:val="3"/>
          </w:tcPr>
          <w:p w14:paraId="057E603F" w14:textId="77777777" w:rsidR="00B7078E" w:rsidRPr="00551B34" w:rsidRDefault="00B7078E" w:rsidP="00DB6C03">
            <w:pPr>
              <w:tabs>
                <w:tab w:val="left" w:pos="2880"/>
              </w:tabs>
              <w:spacing w:line="380" w:lineRule="exact"/>
              <w:ind w:left="360" w:hanging="360"/>
              <w:jc w:val="right"/>
              <w:rPr>
                <w:rFonts w:ascii="Arial" w:eastAsia="Arial Unicode MS" w:hAnsi="Arial" w:cs="Arial"/>
                <w:sz w:val="22"/>
                <w:szCs w:val="22"/>
                <w:u w:val="single"/>
              </w:rPr>
            </w:pPr>
            <w:r w:rsidRPr="00551B34">
              <w:rPr>
                <w:rFonts w:ascii="Arial" w:eastAsia="Arial Unicode MS" w:hAnsi="Arial" w:cs="Arial"/>
                <w:sz w:val="22"/>
                <w:szCs w:val="22"/>
              </w:rPr>
              <w:t>(Unit: Thousand Baht)</w:t>
            </w:r>
          </w:p>
        </w:tc>
      </w:tr>
      <w:tr w:rsidR="00B47AE5" w:rsidRPr="00551B34" w14:paraId="484ABFC6" w14:textId="77777777" w:rsidTr="00C270A0">
        <w:trPr>
          <w:cantSplit/>
          <w:trHeight w:val="80"/>
        </w:trPr>
        <w:tc>
          <w:tcPr>
            <w:tcW w:w="4770" w:type="dxa"/>
          </w:tcPr>
          <w:p w14:paraId="797A4B3D" w14:textId="1C34C231" w:rsidR="00B47AE5" w:rsidRPr="00551B34" w:rsidRDefault="00B47AE5" w:rsidP="00B47AE5">
            <w:pPr>
              <w:spacing w:line="380" w:lineRule="exact"/>
              <w:jc w:val="both"/>
              <w:rPr>
                <w:rFonts w:ascii="Arial" w:eastAsia="Arial Unicode MS" w:hAnsi="Arial" w:cs="Arial"/>
                <w:sz w:val="22"/>
                <w:szCs w:val="22"/>
                <w:cs/>
              </w:rPr>
            </w:pPr>
            <w:r w:rsidRPr="00551B34">
              <w:rPr>
                <w:rFonts w:ascii="Arial" w:hAnsi="Arial" w:cs="Arial"/>
                <w:sz w:val="22"/>
                <w:szCs w:val="22"/>
              </w:rPr>
              <w:br w:type="page"/>
            </w:r>
          </w:p>
        </w:tc>
        <w:tc>
          <w:tcPr>
            <w:tcW w:w="2169" w:type="dxa"/>
          </w:tcPr>
          <w:p w14:paraId="63A55041" w14:textId="048F6D49" w:rsidR="00B47AE5" w:rsidRPr="00551B34" w:rsidRDefault="00B47AE5" w:rsidP="00B47AE5">
            <w:pPr>
              <w:spacing w:line="380" w:lineRule="exact"/>
              <w:jc w:val="center"/>
              <w:rPr>
                <w:rFonts w:ascii="Arial" w:hAnsi="Arial" w:cs="Arial"/>
                <w:sz w:val="22"/>
                <w:szCs w:val="22"/>
              </w:rPr>
            </w:pPr>
          </w:p>
        </w:tc>
        <w:tc>
          <w:tcPr>
            <w:tcW w:w="2169" w:type="dxa"/>
          </w:tcPr>
          <w:p w14:paraId="5804B96F" w14:textId="4D7CD894" w:rsidR="00B47AE5" w:rsidRPr="00551B34" w:rsidRDefault="00B47AE5" w:rsidP="00B47AE5">
            <w:pPr>
              <w:pBdr>
                <w:bottom w:val="single" w:sz="4" w:space="1" w:color="auto"/>
              </w:pBdr>
              <w:spacing w:line="380" w:lineRule="exact"/>
              <w:jc w:val="center"/>
              <w:rPr>
                <w:rFonts w:ascii="Arial" w:hAnsi="Arial" w:cs="Arial"/>
                <w:spacing w:val="-4"/>
                <w:sz w:val="22"/>
                <w:szCs w:val="22"/>
              </w:rPr>
            </w:pPr>
            <w:r w:rsidRPr="00551B34">
              <w:rPr>
                <w:rFonts w:ascii="Arial" w:hAnsi="Arial" w:cs="Arial"/>
                <w:sz w:val="22"/>
                <w:szCs w:val="22"/>
              </w:rPr>
              <w:t>31 March 202</w:t>
            </w:r>
            <w:r w:rsidR="008131AC" w:rsidRPr="00551B34">
              <w:rPr>
                <w:rFonts w:ascii="Arial" w:hAnsi="Arial" w:cs="Arial"/>
                <w:sz w:val="22"/>
                <w:szCs w:val="22"/>
              </w:rPr>
              <w:t>5</w:t>
            </w:r>
          </w:p>
        </w:tc>
      </w:tr>
      <w:tr w:rsidR="00A44918" w:rsidRPr="00551B34" w14:paraId="695AE4F0" w14:textId="77777777" w:rsidTr="00C270A0">
        <w:trPr>
          <w:cantSplit/>
          <w:trHeight w:val="372"/>
        </w:trPr>
        <w:tc>
          <w:tcPr>
            <w:tcW w:w="4770" w:type="dxa"/>
          </w:tcPr>
          <w:p w14:paraId="76ABF0B5" w14:textId="77777777" w:rsidR="00A44918" w:rsidRPr="00551B34" w:rsidRDefault="00A44918" w:rsidP="00A44918">
            <w:pPr>
              <w:spacing w:line="380" w:lineRule="exact"/>
              <w:jc w:val="both"/>
              <w:rPr>
                <w:rFonts w:ascii="Arial" w:eastAsia="Arial Unicode MS" w:hAnsi="Arial" w:cs="Arial"/>
                <w:sz w:val="22"/>
                <w:szCs w:val="22"/>
              </w:rPr>
            </w:pPr>
            <w:r w:rsidRPr="00551B34">
              <w:rPr>
                <w:rFonts w:ascii="Arial" w:eastAsia="Arial Unicode MS" w:hAnsi="Arial" w:cs="Arial"/>
                <w:sz w:val="22"/>
                <w:szCs w:val="22"/>
              </w:rPr>
              <w:t>Long-term loans from financial institution</w:t>
            </w:r>
          </w:p>
        </w:tc>
        <w:tc>
          <w:tcPr>
            <w:tcW w:w="2169" w:type="dxa"/>
          </w:tcPr>
          <w:p w14:paraId="3D3E5188" w14:textId="0D6029D1" w:rsidR="00A44918" w:rsidRPr="00551B34" w:rsidRDefault="00A44918" w:rsidP="00A44918">
            <w:pPr>
              <w:tabs>
                <w:tab w:val="decimal" w:pos="1783"/>
              </w:tabs>
              <w:spacing w:line="380" w:lineRule="exact"/>
              <w:rPr>
                <w:rFonts w:ascii="Arial" w:hAnsi="Arial" w:cs="Arial"/>
                <w:sz w:val="22"/>
                <w:szCs w:val="22"/>
              </w:rPr>
            </w:pPr>
          </w:p>
        </w:tc>
        <w:tc>
          <w:tcPr>
            <w:tcW w:w="2169" w:type="dxa"/>
          </w:tcPr>
          <w:p w14:paraId="1ACA98F6" w14:textId="2C73C877" w:rsidR="00A44918" w:rsidRPr="00551B34" w:rsidRDefault="00A44918" w:rsidP="00A44918">
            <w:pPr>
              <w:tabs>
                <w:tab w:val="decimal" w:pos="1783"/>
              </w:tabs>
              <w:spacing w:line="380" w:lineRule="exact"/>
              <w:rPr>
                <w:rFonts w:ascii="Arial" w:hAnsi="Arial" w:cs="Arial"/>
                <w:sz w:val="22"/>
                <w:szCs w:val="22"/>
              </w:rPr>
            </w:pPr>
            <w:r w:rsidRPr="00551B34">
              <w:rPr>
                <w:rFonts w:ascii="Arial" w:hAnsi="Arial" w:cs="Arial"/>
                <w:sz w:val="22"/>
                <w:szCs w:val="22"/>
              </w:rPr>
              <w:t>2,220,000</w:t>
            </w:r>
          </w:p>
        </w:tc>
      </w:tr>
      <w:tr w:rsidR="00A44918" w:rsidRPr="00551B34" w14:paraId="23B2C893" w14:textId="77777777" w:rsidTr="00C270A0">
        <w:trPr>
          <w:cantSplit/>
          <w:trHeight w:val="372"/>
        </w:trPr>
        <w:tc>
          <w:tcPr>
            <w:tcW w:w="4770" w:type="dxa"/>
          </w:tcPr>
          <w:p w14:paraId="0F0255DF" w14:textId="7C03796C" w:rsidR="00A44918" w:rsidRPr="00551B34" w:rsidRDefault="00A44918" w:rsidP="00A44918">
            <w:pPr>
              <w:spacing w:line="380" w:lineRule="exact"/>
              <w:jc w:val="both"/>
              <w:rPr>
                <w:rFonts w:ascii="Arial" w:eastAsia="Arial Unicode MS" w:hAnsi="Arial" w:cs="Arial"/>
                <w:sz w:val="22"/>
                <w:szCs w:val="22"/>
              </w:rPr>
            </w:pPr>
            <w:r w:rsidRPr="00551B34">
              <w:rPr>
                <w:rFonts w:ascii="Arial" w:eastAsia="Arial Unicode MS" w:hAnsi="Arial" w:cs="Arial"/>
                <w:sz w:val="22"/>
                <w:szCs w:val="22"/>
              </w:rPr>
              <w:t>Less: Repayment</w:t>
            </w:r>
          </w:p>
        </w:tc>
        <w:tc>
          <w:tcPr>
            <w:tcW w:w="2169" w:type="dxa"/>
          </w:tcPr>
          <w:p w14:paraId="67A50D7F" w14:textId="3D30F56B" w:rsidR="00A44918" w:rsidRPr="00551B34" w:rsidRDefault="00A44918" w:rsidP="00A44918">
            <w:pPr>
              <w:tabs>
                <w:tab w:val="decimal" w:pos="1783"/>
              </w:tabs>
              <w:spacing w:line="380" w:lineRule="exact"/>
              <w:rPr>
                <w:rFonts w:ascii="Arial" w:hAnsi="Arial" w:cs="Arial"/>
                <w:sz w:val="22"/>
                <w:szCs w:val="22"/>
              </w:rPr>
            </w:pPr>
          </w:p>
        </w:tc>
        <w:tc>
          <w:tcPr>
            <w:tcW w:w="2169" w:type="dxa"/>
          </w:tcPr>
          <w:p w14:paraId="4203B7E6" w14:textId="70DE4EF9" w:rsidR="00A44918" w:rsidRPr="00551B34" w:rsidRDefault="00A44918" w:rsidP="00A44918">
            <w:pPr>
              <w:tabs>
                <w:tab w:val="decimal" w:pos="1783"/>
              </w:tabs>
              <w:spacing w:line="380" w:lineRule="exact"/>
              <w:rPr>
                <w:rFonts w:ascii="Arial" w:hAnsi="Arial" w:cs="Arial"/>
                <w:sz w:val="22"/>
                <w:szCs w:val="22"/>
              </w:rPr>
            </w:pPr>
            <w:r w:rsidRPr="00551B34">
              <w:rPr>
                <w:rFonts w:ascii="Arial" w:hAnsi="Arial" w:cs="Arial"/>
                <w:sz w:val="22"/>
                <w:szCs w:val="22"/>
              </w:rPr>
              <w:t>-</w:t>
            </w:r>
          </w:p>
        </w:tc>
      </w:tr>
      <w:tr w:rsidR="00A44918" w:rsidRPr="00551B34" w14:paraId="26DCAA6B" w14:textId="77777777" w:rsidTr="00C270A0">
        <w:trPr>
          <w:cantSplit/>
          <w:trHeight w:val="408"/>
        </w:trPr>
        <w:tc>
          <w:tcPr>
            <w:tcW w:w="4770" w:type="dxa"/>
          </w:tcPr>
          <w:p w14:paraId="5F0DC7A4" w14:textId="77777777" w:rsidR="00A44918" w:rsidRPr="00551B34" w:rsidRDefault="00A44918" w:rsidP="00A44918">
            <w:pPr>
              <w:spacing w:line="380" w:lineRule="exact"/>
              <w:jc w:val="both"/>
              <w:rPr>
                <w:rFonts w:ascii="Arial" w:eastAsia="Arial Unicode MS" w:hAnsi="Arial" w:cs="Arial"/>
                <w:sz w:val="22"/>
                <w:szCs w:val="22"/>
              </w:rPr>
            </w:pPr>
            <w:r w:rsidRPr="00551B34">
              <w:rPr>
                <w:rFonts w:ascii="Arial" w:eastAsia="Arial Unicode MS" w:hAnsi="Arial" w:cs="Arial"/>
                <w:sz w:val="22"/>
                <w:szCs w:val="22"/>
              </w:rPr>
              <w:t>Less: Deferred transaction costs</w:t>
            </w:r>
          </w:p>
        </w:tc>
        <w:tc>
          <w:tcPr>
            <w:tcW w:w="2169" w:type="dxa"/>
          </w:tcPr>
          <w:p w14:paraId="2EB0D378" w14:textId="1A43D015" w:rsidR="00A44918" w:rsidRPr="00551B34" w:rsidRDefault="00A44918" w:rsidP="00A44918">
            <w:pPr>
              <w:tabs>
                <w:tab w:val="decimal" w:pos="1783"/>
              </w:tabs>
              <w:spacing w:line="380" w:lineRule="exact"/>
              <w:rPr>
                <w:rFonts w:ascii="Arial" w:hAnsi="Arial" w:cs="Arial"/>
                <w:sz w:val="22"/>
                <w:szCs w:val="22"/>
              </w:rPr>
            </w:pPr>
          </w:p>
        </w:tc>
        <w:tc>
          <w:tcPr>
            <w:tcW w:w="2169" w:type="dxa"/>
          </w:tcPr>
          <w:p w14:paraId="50AD63DB" w14:textId="48411B2C" w:rsidR="00A44918" w:rsidRPr="00551B34" w:rsidRDefault="00A44918" w:rsidP="00A44918">
            <w:pPr>
              <w:pBdr>
                <w:bottom w:val="single" w:sz="4" w:space="1" w:color="auto"/>
              </w:pBdr>
              <w:tabs>
                <w:tab w:val="decimal" w:pos="1783"/>
              </w:tabs>
              <w:spacing w:line="380" w:lineRule="exact"/>
              <w:rPr>
                <w:rFonts w:ascii="Arial" w:hAnsi="Arial" w:cs="Arial"/>
                <w:sz w:val="22"/>
                <w:szCs w:val="22"/>
              </w:rPr>
            </w:pPr>
            <w:r w:rsidRPr="00551B34">
              <w:rPr>
                <w:rFonts w:ascii="Arial" w:hAnsi="Arial" w:cs="Arial"/>
                <w:sz w:val="22"/>
                <w:szCs w:val="22"/>
              </w:rPr>
              <w:t>(4,81</w:t>
            </w:r>
            <w:r w:rsidR="006630D9">
              <w:rPr>
                <w:rFonts w:ascii="Arial" w:hAnsi="Arial" w:cstheme="minorBidi"/>
                <w:sz w:val="22"/>
                <w:szCs w:val="22"/>
              </w:rPr>
              <w:t>3</w:t>
            </w:r>
            <w:r w:rsidRPr="00551B34">
              <w:rPr>
                <w:rFonts w:ascii="Arial" w:hAnsi="Arial" w:cs="Arial"/>
                <w:sz w:val="22"/>
                <w:szCs w:val="22"/>
              </w:rPr>
              <w:t>)</w:t>
            </w:r>
          </w:p>
        </w:tc>
      </w:tr>
      <w:tr w:rsidR="00A44918" w:rsidRPr="00551B34" w14:paraId="74C5F287" w14:textId="77777777" w:rsidTr="00C270A0">
        <w:trPr>
          <w:cantSplit/>
          <w:trHeight w:val="432"/>
        </w:trPr>
        <w:tc>
          <w:tcPr>
            <w:tcW w:w="4770" w:type="dxa"/>
          </w:tcPr>
          <w:p w14:paraId="7A8286E3" w14:textId="77777777" w:rsidR="00A44918" w:rsidRPr="00551B34" w:rsidRDefault="00A44918" w:rsidP="00A44918">
            <w:pPr>
              <w:spacing w:line="380" w:lineRule="exact"/>
              <w:jc w:val="both"/>
              <w:rPr>
                <w:rFonts w:ascii="Arial" w:eastAsia="Arial Unicode MS" w:hAnsi="Arial" w:cs="Arial"/>
                <w:sz w:val="22"/>
                <w:szCs w:val="22"/>
                <w:cs/>
              </w:rPr>
            </w:pPr>
            <w:r w:rsidRPr="00551B34">
              <w:rPr>
                <w:rFonts w:ascii="Arial" w:eastAsia="Arial Unicode MS" w:hAnsi="Arial" w:cs="Arial"/>
                <w:sz w:val="22"/>
                <w:szCs w:val="22"/>
              </w:rPr>
              <w:t>Long-term loans from financial institution - Net</w:t>
            </w:r>
          </w:p>
        </w:tc>
        <w:tc>
          <w:tcPr>
            <w:tcW w:w="2169" w:type="dxa"/>
          </w:tcPr>
          <w:p w14:paraId="7C7D9F42" w14:textId="369270AC" w:rsidR="00A44918" w:rsidRPr="00551B34" w:rsidRDefault="00A44918" w:rsidP="00A44918">
            <w:pPr>
              <w:tabs>
                <w:tab w:val="decimal" w:pos="1783"/>
              </w:tabs>
              <w:spacing w:line="380" w:lineRule="exact"/>
              <w:rPr>
                <w:rFonts w:ascii="Arial" w:hAnsi="Arial" w:cs="Arial"/>
                <w:sz w:val="22"/>
                <w:szCs w:val="22"/>
              </w:rPr>
            </w:pPr>
          </w:p>
        </w:tc>
        <w:tc>
          <w:tcPr>
            <w:tcW w:w="2169" w:type="dxa"/>
          </w:tcPr>
          <w:p w14:paraId="7A539D49" w14:textId="466FD072" w:rsidR="00A44918" w:rsidRPr="00551B34" w:rsidRDefault="00A44918" w:rsidP="00A44918">
            <w:pPr>
              <w:pBdr>
                <w:bottom w:val="double" w:sz="4" w:space="1" w:color="auto"/>
              </w:pBdr>
              <w:tabs>
                <w:tab w:val="decimal" w:pos="1783"/>
              </w:tabs>
              <w:spacing w:line="380" w:lineRule="exact"/>
              <w:rPr>
                <w:rFonts w:ascii="Arial" w:hAnsi="Arial" w:cs="Arial"/>
                <w:sz w:val="22"/>
                <w:szCs w:val="22"/>
              </w:rPr>
            </w:pPr>
            <w:r w:rsidRPr="00551B34">
              <w:rPr>
                <w:rFonts w:ascii="Arial" w:hAnsi="Arial" w:cs="Arial"/>
                <w:sz w:val="22"/>
                <w:szCs w:val="22"/>
              </w:rPr>
              <w:t>2,215,18</w:t>
            </w:r>
            <w:r w:rsidR="006630D9">
              <w:rPr>
                <w:rFonts w:ascii="Arial" w:hAnsi="Arial" w:cs="Arial"/>
                <w:sz w:val="22"/>
                <w:szCs w:val="22"/>
              </w:rPr>
              <w:t>7</w:t>
            </w:r>
          </w:p>
        </w:tc>
      </w:tr>
    </w:tbl>
    <w:p w14:paraId="39E3F344" w14:textId="2978250B" w:rsidR="006C2220" w:rsidRPr="00551B34" w:rsidRDefault="00D07FF3" w:rsidP="00BA5875">
      <w:pPr>
        <w:tabs>
          <w:tab w:val="left" w:pos="720"/>
          <w:tab w:val="left" w:pos="1440"/>
          <w:tab w:val="left" w:pos="2880"/>
        </w:tabs>
        <w:spacing w:before="240" w:after="120" w:line="380" w:lineRule="exact"/>
        <w:ind w:left="547" w:hanging="547"/>
        <w:jc w:val="thaiDistribute"/>
        <w:rPr>
          <w:rFonts w:ascii="Arial" w:hAnsi="Arial" w:cs="Arial"/>
          <w:bCs/>
          <w:sz w:val="22"/>
          <w:szCs w:val="22"/>
        </w:rPr>
      </w:pPr>
      <w:r w:rsidRPr="00551B34">
        <w:rPr>
          <w:rFonts w:ascii="Arial" w:hAnsi="Arial" w:cs="Arial"/>
          <w:bCs/>
          <w:sz w:val="22"/>
          <w:szCs w:val="22"/>
        </w:rPr>
        <w:tab/>
      </w:r>
      <w:r w:rsidR="00B45B9A">
        <w:rPr>
          <w:rFonts w:ascii="Arial" w:hAnsi="Arial" w:cs="Arial"/>
          <w:bCs/>
          <w:sz w:val="22"/>
          <w:szCs w:val="22"/>
        </w:rPr>
        <w:t>The maximum interest rate of the loan is not exceeding</w:t>
      </w:r>
      <w:r w:rsidR="00994892" w:rsidRPr="00994892">
        <w:rPr>
          <w:rFonts w:ascii="Arial" w:hAnsi="Arial" w:cs="Arial"/>
          <w:bCs/>
          <w:sz w:val="22"/>
          <w:szCs w:val="22"/>
        </w:rPr>
        <w:t xml:space="preserve"> MLR minus a percentage stipulated in the agreement, with interest payable monthly and the principal due in 2027.</w:t>
      </w:r>
    </w:p>
    <w:p w14:paraId="68F60C5E" w14:textId="40207BBD" w:rsidR="00347BC2" w:rsidRPr="00551B34" w:rsidRDefault="00347BC2" w:rsidP="006C2220">
      <w:pPr>
        <w:tabs>
          <w:tab w:val="left" w:pos="720"/>
          <w:tab w:val="left" w:pos="1440"/>
          <w:tab w:val="left" w:pos="2880"/>
        </w:tabs>
        <w:spacing w:before="120" w:after="120" w:line="380" w:lineRule="exact"/>
        <w:ind w:left="547" w:hanging="547"/>
        <w:jc w:val="thaiDistribute"/>
        <w:rPr>
          <w:rFonts w:ascii="Arial" w:hAnsi="Arial" w:cs="Arial"/>
          <w:bCs/>
          <w:sz w:val="22"/>
          <w:szCs w:val="22"/>
        </w:rPr>
      </w:pPr>
      <w:r w:rsidRPr="00551B34">
        <w:rPr>
          <w:rFonts w:ascii="Arial" w:hAnsi="Arial" w:cs="Arial"/>
          <w:bCs/>
          <w:sz w:val="22"/>
          <w:szCs w:val="22"/>
        </w:rPr>
        <w:tab/>
        <w:t>The loan</w:t>
      </w:r>
      <w:r w:rsidR="00BA5875" w:rsidRPr="00551B34">
        <w:rPr>
          <w:rFonts w:ascii="Arial" w:hAnsi="Arial" w:cs="Arial"/>
          <w:bCs/>
          <w:sz w:val="22"/>
          <w:szCs w:val="22"/>
        </w:rPr>
        <w:t xml:space="preserve"> </w:t>
      </w:r>
      <w:r w:rsidR="001C210E" w:rsidRPr="00551B34">
        <w:rPr>
          <w:rFonts w:ascii="Arial" w:hAnsi="Arial" w:cs="Arial"/>
          <w:bCs/>
          <w:sz w:val="22"/>
          <w:szCs w:val="22"/>
        </w:rPr>
        <w:t>is</w:t>
      </w:r>
      <w:r w:rsidR="00BA5875" w:rsidRPr="00551B34">
        <w:rPr>
          <w:rFonts w:ascii="Arial" w:hAnsi="Arial" w:cs="Arial"/>
          <w:bCs/>
          <w:sz w:val="22"/>
          <w:szCs w:val="22"/>
        </w:rPr>
        <w:t xml:space="preserve"> </w:t>
      </w:r>
      <w:r w:rsidRPr="00551B34">
        <w:rPr>
          <w:rFonts w:ascii="Arial" w:hAnsi="Arial" w:cs="Arial"/>
          <w:bCs/>
          <w:sz w:val="22"/>
          <w:szCs w:val="22"/>
        </w:rPr>
        <w:t xml:space="preserve">secured by </w:t>
      </w:r>
      <w:r w:rsidR="001C210E" w:rsidRPr="00551B34">
        <w:rPr>
          <w:rFonts w:ascii="Arial" w:hAnsi="Arial" w:cs="Arial"/>
          <w:bCs/>
          <w:sz w:val="22"/>
          <w:szCs w:val="22"/>
        </w:rPr>
        <w:t xml:space="preserve">a </w:t>
      </w:r>
      <w:r w:rsidRPr="00551B34">
        <w:rPr>
          <w:rFonts w:ascii="Arial" w:hAnsi="Arial" w:cs="Arial"/>
          <w:bCs/>
          <w:sz w:val="22"/>
          <w:szCs w:val="22"/>
        </w:rPr>
        <w:t>leasehold right over propert</w:t>
      </w:r>
      <w:r w:rsidR="001C210E" w:rsidRPr="00551B34">
        <w:rPr>
          <w:rFonts w:ascii="Arial" w:hAnsi="Arial" w:cs="Arial"/>
          <w:bCs/>
          <w:sz w:val="22"/>
          <w:szCs w:val="22"/>
        </w:rPr>
        <w:t>y</w:t>
      </w:r>
      <w:r w:rsidRPr="00551B34">
        <w:rPr>
          <w:rFonts w:ascii="Arial" w:hAnsi="Arial" w:cs="Arial"/>
          <w:bCs/>
          <w:sz w:val="22"/>
          <w:szCs w:val="22"/>
        </w:rPr>
        <w:t xml:space="preserve">, as described in Note </w:t>
      </w:r>
      <w:r w:rsidR="00BA5875" w:rsidRPr="00551B34">
        <w:rPr>
          <w:rFonts w:ascii="Arial" w:hAnsi="Arial" w:cs="Arial"/>
          <w:bCs/>
          <w:sz w:val="22"/>
          <w:szCs w:val="22"/>
        </w:rPr>
        <w:t>4</w:t>
      </w:r>
      <w:r w:rsidRPr="00551B34">
        <w:rPr>
          <w:rFonts w:ascii="Arial" w:hAnsi="Arial" w:cs="Arial"/>
          <w:bCs/>
          <w:sz w:val="22"/>
          <w:szCs w:val="22"/>
        </w:rPr>
        <w:t xml:space="preserve">. </w:t>
      </w:r>
    </w:p>
    <w:p w14:paraId="2B7DCCFC" w14:textId="600CFDA4" w:rsidR="00137DD6" w:rsidRPr="00551B34" w:rsidRDefault="00347BC2" w:rsidP="00CF0BD3">
      <w:pPr>
        <w:tabs>
          <w:tab w:val="left" w:pos="720"/>
          <w:tab w:val="left" w:pos="1440"/>
          <w:tab w:val="left" w:pos="2880"/>
        </w:tabs>
        <w:spacing w:before="120" w:after="120" w:line="380" w:lineRule="exact"/>
        <w:ind w:left="547" w:hanging="547"/>
        <w:jc w:val="thaiDistribute"/>
        <w:rPr>
          <w:rFonts w:ascii="Arial" w:hAnsi="Arial" w:cs="Arial"/>
          <w:bCs/>
          <w:sz w:val="22"/>
          <w:szCs w:val="22"/>
        </w:rPr>
      </w:pPr>
      <w:r w:rsidRPr="00551B34">
        <w:rPr>
          <w:rFonts w:ascii="Arial" w:hAnsi="Arial" w:cs="Arial"/>
          <w:bCs/>
          <w:sz w:val="22"/>
          <w:szCs w:val="22"/>
        </w:rPr>
        <w:tab/>
      </w:r>
      <w:r w:rsidRPr="00551B34">
        <w:rPr>
          <w:rFonts w:ascii="Arial" w:hAnsi="Arial" w:cs="Arial"/>
          <w:bCs/>
          <w:spacing w:val="-2"/>
          <w:sz w:val="22"/>
          <w:szCs w:val="22"/>
        </w:rPr>
        <w:t>The loan agreement contain</w:t>
      </w:r>
      <w:r w:rsidR="00BC0325" w:rsidRPr="00551B34">
        <w:rPr>
          <w:rFonts w:ascii="Arial" w:hAnsi="Arial" w:cs="Arial"/>
          <w:bCs/>
          <w:spacing w:val="-2"/>
          <w:sz w:val="22"/>
          <w:szCs w:val="22"/>
        </w:rPr>
        <w:t>s</w:t>
      </w:r>
      <w:r w:rsidRPr="00551B34">
        <w:rPr>
          <w:rFonts w:ascii="Arial" w:hAnsi="Arial" w:cs="Arial"/>
          <w:bCs/>
          <w:spacing w:val="-2"/>
          <w:sz w:val="22"/>
          <w:szCs w:val="22"/>
        </w:rPr>
        <w:t xml:space="preserve"> covenants that, among other things, require the Trust to maintain</w:t>
      </w:r>
      <w:r w:rsidRPr="00551B34">
        <w:rPr>
          <w:rFonts w:ascii="Arial" w:hAnsi="Arial" w:cs="Arial"/>
          <w:bCs/>
          <w:sz w:val="22"/>
          <w:szCs w:val="22"/>
        </w:rPr>
        <w:t xml:space="preserve"> a certain debt to </w:t>
      </w:r>
      <w:r w:rsidR="0025234B" w:rsidRPr="00551B34">
        <w:rPr>
          <w:rFonts w:ascii="Arial" w:hAnsi="Arial" w:cs="Arial"/>
          <w:bCs/>
          <w:sz w:val="22"/>
          <w:szCs w:val="22"/>
        </w:rPr>
        <w:t>total asset</w:t>
      </w:r>
      <w:r w:rsidRPr="00551B34">
        <w:rPr>
          <w:rFonts w:ascii="Arial" w:hAnsi="Arial" w:cs="Arial"/>
          <w:bCs/>
          <w:sz w:val="22"/>
          <w:szCs w:val="22"/>
        </w:rPr>
        <w:t xml:space="preserve"> ratio and debt service coverage ratio.</w:t>
      </w:r>
    </w:p>
    <w:p w14:paraId="3A57E832" w14:textId="5C78EEC6" w:rsidR="00347BC2" w:rsidRPr="00551B34" w:rsidRDefault="0032056B" w:rsidP="006C2220">
      <w:pPr>
        <w:pStyle w:val="ListParagraph"/>
        <w:numPr>
          <w:ilvl w:val="0"/>
          <w:numId w:val="5"/>
        </w:numPr>
        <w:tabs>
          <w:tab w:val="left" w:pos="540"/>
        </w:tabs>
        <w:spacing w:before="120" w:after="120" w:line="380" w:lineRule="exact"/>
        <w:ind w:left="547" w:hanging="547"/>
        <w:contextualSpacing w:val="0"/>
        <w:rPr>
          <w:rFonts w:ascii="Arial" w:hAnsi="Arial" w:cs="Arial"/>
          <w:b/>
          <w:bCs/>
          <w:sz w:val="22"/>
          <w:szCs w:val="22"/>
        </w:rPr>
      </w:pPr>
      <w:r w:rsidRPr="00551B34">
        <w:rPr>
          <w:rFonts w:ascii="Arial" w:hAnsi="Arial" w:cs="Arial"/>
          <w:b/>
          <w:bCs/>
          <w:sz w:val="22"/>
          <w:szCs w:val="22"/>
        </w:rPr>
        <w:lastRenderedPageBreak/>
        <w:t>Retain earnings</w:t>
      </w:r>
    </w:p>
    <w:tbl>
      <w:tblPr>
        <w:tblW w:w="9090" w:type="dxa"/>
        <w:tblInd w:w="450" w:type="dxa"/>
        <w:tblLayout w:type="fixed"/>
        <w:tblLook w:val="0000" w:firstRow="0" w:lastRow="0" w:firstColumn="0" w:lastColumn="0" w:noHBand="0" w:noVBand="0"/>
      </w:tblPr>
      <w:tblGrid>
        <w:gridCol w:w="6930"/>
        <w:gridCol w:w="2160"/>
      </w:tblGrid>
      <w:tr w:rsidR="00B7078E" w:rsidRPr="00551B34" w14:paraId="43E23721" w14:textId="77777777" w:rsidTr="001F786A">
        <w:trPr>
          <w:cantSplit/>
        </w:trPr>
        <w:tc>
          <w:tcPr>
            <w:tcW w:w="9090" w:type="dxa"/>
            <w:gridSpan w:val="2"/>
          </w:tcPr>
          <w:p w14:paraId="5973A087" w14:textId="77777777" w:rsidR="00B7078E" w:rsidRPr="00551B34" w:rsidRDefault="00B7078E" w:rsidP="00C270A0">
            <w:pPr>
              <w:tabs>
                <w:tab w:val="left" w:pos="2880"/>
              </w:tabs>
              <w:spacing w:line="380" w:lineRule="exact"/>
              <w:ind w:left="360" w:hanging="360"/>
              <w:jc w:val="right"/>
              <w:rPr>
                <w:rFonts w:ascii="Arial" w:eastAsia="Arial Unicode MS" w:hAnsi="Arial" w:cs="Arial"/>
                <w:sz w:val="22"/>
                <w:szCs w:val="22"/>
                <w:u w:val="single"/>
              </w:rPr>
            </w:pPr>
            <w:r w:rsidRPr="00551B34">
              <w:rPr>
                <w:rFonts w:ascii="Arial" w:eastAsia="Arial Unicode MS" w:hAnsi="Arial" w:cs="Arial"/>
                <w:sz w:val="22"/>
                <w:szCs w:val="22"/>
              </w:rPr>
              <w:t>(Unit: Thousand Baht)</w:t>
            </w:r>
          </w:p>
        </w:tc>
      </w:tr>
      <w:tr w:rsidR="007C1D65" w:rsidRPr="00551B34" w14:paraId="74203A18" w14:textId="77777777" w:rsidTr="00C270A0">
        <w:trPr>
          <w:cantSplit/>
        </w:trPr>
        <w:tc>
          <w:tcPr>
            <w:tcW w:w="6930" w:type="dxa"/>
          </w:tcPr>
          <w:p w14:paraId="5869CFE4" w14:textId="77777777" w:rsidR="007C1D65" w:rsidRPr="00551B34" w:rsidRDefault="007C1D65" w:rsidP="00C270A0">
            <w:pPr>
              <w:spacing w:line="380" w:lineRule="exact"/>
              <w:jc w:val="both"/>
              <w:rPr>
                <w:rFonts w:ascii="Arial" w:eastAsia="Arial Unicode MS" w:hAnsi="Arial" w:cs="Arial"/>
                <w:sz w:val="22"/>
                <w:szCs w:val="22"/>
                <w:cs/>
              </w:rPr>
            </w:pPr>
          </w:p>
        </w:tc>
        <w:tc>
          <w:tcPr>
            <w:tcW w:w="2160" w:type="dxa"/>
            <w:vAlign w:val="bottom"/>
          </w:tcPr>
          <w:p w14:paraId="6E595509" w14:textId="2C90BB6C" w:rsidR="007C1D65" w:rsidRPr="00551B34" w:rsidRDefault="00CA7822" w:rsidP="00C270A0">
            <w:pPr>
              <w:pBdr>
                <w:bottom w:val="single" w:sz="4" w:space="1" w:color="auto"/>
              </w:pBdr>
              <w:spacing w:line="380" w:lineRule="exact"/>
              <w:jc w:val="center"/>
              <w:rPr>
                <w:rFonts w:ascii="Arial" w:hAnsi="Arial" w:cs="Arial"/>
                <w:sz w:val="22"/>
                <w:szCs w:val="22"/>
              </w:rPr>
            </w:pPr>
            <w:r w:rsidRPr="00551B34">
              <w:rPr>
                <w:rFonts w:ascii="Arial" w:hAnsi="Arial" w:cs="Arial"/>
                <w:sz w:val="22"/>
                <w:szCs w:val="22"/>
              </w:rPr>
              <w:t>31 March 202</w:t>
            </w:r>
            <w:r w:rsidR="008131AC" w:rsidRPr="00551B34">
              <w:rPr>
                <w:rFonts w:ascii="Arial" w:hAnsi="Arial" w:cs="Arial"/>
                <w:sz w:val="22"/>
                <w:szCs w:val="22"/>
              </w:rPr>
              <w:t>5</w:t>
            </w:r>
          </w:p>
        </w:tc>
      </w:tr>
      <w:tr w:rsidR="001F786A" w:rsidRPr="00551B34" w14:paraId="724A0A99" w14:textId="77777777" w:rsidTr="00C270A0">
        <w:trPr>
          <w:cantSplit/>
        </w:trPr>
        <w:tc>
          <w:tcPr>
            <w:tcW w:w="6930" w:type="dxa"/>
          </w:tcPr>
          <w:p w14:paraId="1361A66E" w14:textId="77777777" w:rsidR="001F786A" w:rsidRPr="00551B34" w:rsidRDefault="001F786A" w:rsidP="001F786A">
            <w:pPr>
              <w:spacing w:line="380" w:lineRule="exact"/>
              <w:jc w:val="both"/>
              <w:rPr>
                <w:rFonts w:ascii="Arial" w:hAnsi="Arial" w:cs="Arial"/>
                <w:sz w:val="22"/>
                <w:szCs w:val="22"/>
              </w:rPr>
            </w:pPr>
            <w:r w:rsidRPr="00551B34">
              <w:rPr>
                <w:rFonts w:ascii="Arial" w:hAnsi="Arial" w:cs="Arial"/>
                <w:sz w:val="22"/>
                <w:szCs w:val="22"/>
              </w:rPr>
              <w:t xml:space="preserve">Retain earnings at the beginning of </w:t>
            </w:r>
            <w:r w:rsidRPr="00551B34">
              <w:rPr>
                <w:rFonts w:ascii="Arial" w:eastAsia="Arial Unicode MS" w:hAnsi="Arial" w:cs="Arial"/>
                <w:sz w:val="22"/>
                <w:szCs w:val="22"/>
              </w:rPr>
              <w:t>period</w:t>
            </w:r>
          </w:p>
        </w:tc>
        <w:tc>
          <w:tcPr>
            <w:tcW w:w="2160" w:type="dxa"/>
          </w:tcPr>
          <w:p w14:paraId="243A793E" w14:textId="4579EC6A" w:rsidR="001F786A" w:rsidRPr="00551B34" w:rsidRDefault="001F786A" w:rsidP="001F786A">
            <w:pPr>
              <w:tabs>
                <w:tab w:val="decimal" w:pos="1783"/>
              </w:tabs>
              <w:spacing w:line="380" w:lineRule="exact"/>
              <w:rPr>
                <w:rFonts w:ascii="Arial" w:hAnsi="Arial" w:cs="Arial"/>
                <w:sz w:val="22"/>
                <w:szCs w:val="22"/>
              </w:rPr>
            </w:pPr>
            <w:r w:rsidRPr="00551B34">
              <w:rPr>
                <w:rFonts w:ascii="Arial" w:hAnsi="Arial" w:cs="Arial"/>
                <w:sz w:val="22"/>
                <w:szCs w:val="22"/>
              </w:rPr>
              <w:t>192,826</w:t>
            </w:r>
          </w:p>
        </w:tc>
      </w:tr>
      <w:tr w:rsidR="001F786A" w:rsidRPr="00551B34" w14:paraId="2F608A58" w14:textId="77777777" w:rsidTr="00C270A0">
        <w:trPr>
          <w:cantSplit/>
        </w:trPr>
        <w:tc>
          <w:tcPr>
            <w:tcW w:w="6930" w:type="dxa"/>
          </w:tcPr>
          <w:p w14:paraId="1D858FF0" w14:textId="1AD44192" w:rsidR="001F786A" w:rsidRPr="00551B34" w:rsidRDefault="001F786A" w:rsidP="001F786A">
            <w:pPr>
              <w:spacing w:line="380" w:lineRule="exact"/>
              <w:ind w:left="696" w:right="-105" w:hanging="696"/>
              <w:rPr>
                <w:rFonts w:ascii="Arial" w:eastAsia="Arial Unicode MS" w:hAnsi="Arial" w:cs="Arial"/>
                <w:sz w:val="22"/>
                <w:szCs w:val="22"/>
              </w:rPr>
            </w:pPr>
            <w:r w:rsidRPr="00551B34">
              <w:rPr>
                <w:rFonts w:ascii="Arial" w:eastAsia="Arial Unicode MS" w:hAnsi="Arial" w:cs="Arial"/>
                <w:sz w:val="22"/>
                <w:szCs w:val="22"/>
              </w:rPr>
              <w:t>Add: Increase in net assets resulting from operations</w:t>
            </w:r>
          </w:p>
        </w:tc>
        <w:tc>
          <w:tcPr>
            <w:tcW w:w="2160" w:type="dxa"/>
          </w:tcPr>
          <w:p w14:paraId="27EFA382" w14:textId="716F7C17" w:rsidR="001F786A" w:rsidRPr="00551B34" w:rsidRDefault="001F786A" w:rsidP="001F786A">
            <w:pPr>
              <w:tabs>
                <w:tab w:val="decimal" w:pos="1783"/>
              </w:tabs>
              <w:spacing w:line="380" w:lineRule="exact"/>
              <w:rPr>
                <w:rFonts w:ascii="Arial" w:hAnsi="Arial" w:cs="Arial"/>
                <w:sz w:val="22"/>
                <w:szCs w:val="22"/>
              </w:rPr>
            </w:pPr>
            <w:r w:rsidRPr="00551B34">
              <w:rPr>
                <w:rFonts w:ascii="Arial" w:hAnsi="Arial" w:cs="Arial"/>
                <w:sz w:val="22"/>
                <w:szCs w:val="22"/>
              </w:rPr>
              <w:t>129,723</w:t>
            </w:r>
          </w:p>
        </w:tc>
      </w:tr>
      <w:tr w:rsidR="001F786A" w:rsidRPr="00551B34" w14:paraId="22A50B45" w14:textId="77777777" w:rsidTr="00C270A0">
        <w:trPr>
          <w:cantSplit/>
        </w:trPr>
        <w:tc>
          <w:tcPr>
            <w:tcW w:w="6930" w:type="dxa"/>
          </w:tcPr>
          <w:p w14:paraId="25A81CD3" w14:textId="16A1657D" w:rsidR="001F786A" w:rsidRPr="00551B34" w:rsidRDefault="001F786A" w:rsidP="001F786A">
            <w:pPr>
              <w:spacing w:line="380" w:lineRule="exact"/>
              <w:ind w:left="612" w:hanging="612"/>
              <w:rPr>
                <w:rFonts w:ascii="Arial" w:hAnsi="Arial" w:cs="Arial"/>
                <w:sz w:val="22"/>
                <w:szCs w:val="22"/>
              </w:rPr>
            </w:pPr>
            <w:r w:rsidRPr="00551B34">
              <w:rPr>
                <w:rFonts w:ascii="Arial" w:hAnsi="Arial" w:cs="Arial"/>
                <w:sz w:val="22"/>
                <w:szCs w:val="22"/>
              </w:rPr>
              <w:t>Less: Distribution to unitholders</w:t>
            </w:r>
          </w:p>
        </w:tc>
        <w:tc>
          <w:tcPr>
            <w:tcW w:w="2160" w:type="dxa"/>
          </w:tcPr>
          <w:p w14:paraId="3D668FBD" w14:textId="5CF87989" w:rsidR="001F786A" w:rsidRPr="00551B34" w:rsidRDefault="001F786A" w:rsidP="001F786A">
            <w:pPr>
              <w:pBdr>
                <w:bottom w:val="single" w:sz="4" w:space="1" w:color="auto"/>
              </w:pBdr>
              <w:tabs>
                <w:tab w:val="decimal" w:pos="1783"/>
              </w:tabs>
              <w:spacing w:line="380" w:lineRule="exact"/>
              <w:rPr>
                <w:rFonts w:ascii="Arial" w:hAnsi="Arial" w:cs="Arial"/>
                <w:sz w:val="22"/>
                <w:szCs w:val="22"/>
              </w:rPr>
            </w:pPr>
            <w:r w:rsidRPr="00551B34">
              <w:rPr>
                <w:rFonts w:ascii="Arial" w:hAnsi="Arial" w:cs="Arial"/>
                <w:sz w:val="22"/>
                <w:szCs w:val="22"/>
              </w:rPr>
              <w:t>(130,013)</w:t>
            </w:r>
          </w:p>
        </w:tc>
      </w:tr>
      <w:tr w:rsidR="001F786A" w:rsidRPr="00551B34" w14:paraId="0006425C" w14:textId="77777777" w:rsidTr="00C270A0">
        <w:trPr>
          <w:cantSplit/>
        </w:trPr>
        <w:tc>
          <w:tcPr>
            <w:tcW w:w="6930" w:type="dxa"/>
          </w:tcPr>
          <w:p w14:paraId="30AE2617" w14:textId="2B4800BE" w:rsidR="001F786A" w:rsidRPr="00551B34" w:rsidRDefault="001F786A" w:rsidP="001F786A">
            <w:pPr>
              <w:spacing w:line="380" w:lineRule="exact"/>
              <w:ind w:left="612" w:hanging="612"/>
              <w:rPr>
                <w:rFonts w:ascii="Arial" w:hAnsi="Arial" w:cs="Arial"/>
                <w:sz w:val="22"/>
                <w:szCs w:val="22"/>
              </w:rPr>
            </w:pPr>
            <w:r w:rsidRPr="00551B34">
              <w:rPr>
                <w:rFonts w:ascii="Arial" w:hAnsi="Arial" w:cs="Arial"/>
                <w:sz w:val="22"/>
                <w:szCs w:val="22"/>
              </w:rPr>
              <w:t xml:space="preserve">Retain earnings at the end of </w:t>
            </w:r>
            <w:r w:rsidRPr="00551B34">
              <w:rPr>
                <w:rFonts w:ascii="Arial" w:eastAsia="Arial Unicode MS" w:hAnsi="Arial" w:cs="Arial"/>
                <w:sz w:val="22"/>
                <w:szCs w:val="22"/>
              </w:rPr>
              <w:t>period</w:t>
            </w:r>
          </w:p>
        </w:tc>
        <w:tc>
          <w:tcPr>
            <w:tcW w:w="2160" w:type="dxa"/>
          </w:tcPr>
          <w:p w14:paraId="23F819E6" w14:textId="435B6E49" w:rsidR="001F786A" w:rsidRPr="00551B34" w:rsidRDefault="001F786A" w:rsidP="001F786A">
            <w:pPr>
              <w:pBdr>
                <w:bottom w:val="double" w:sz="4" w:space="1" w:color="auto"/>
              </w:pBdr>
              <w:tabs>
                <w:tab w:val="decimal" w:pos="1783"/>
              </w:tabs>
              <w:spacing w:line="380" w:lineRule="exact"/>
              <w:rPr>
                <w:rFonts w:ascii="Arial" w:hAnsi="Arial" w:cs="Arial"/>
                <w:sz w:val="22"/>
                <w:szCs w:val="22"/>
              </w:rPr>
            </w:pPr>
            <w:r w:rsidRPr="00551B34">
              <w:rPr>
                <w:rFonts w:ascii="Arial" w:hAnsi="Arial" w:cs="Arial"/>
                <w:sz w:val="22"/>
                <w:szCs w:val="22"/>
              </w:rPr>
              <w:t>192,536</w:t>
            </w:r>
          </w:p>
        </w:tc>
      </w:tr>
    </w:tbl>
    <w:p w14:paraId="0B2C6093" w14:textId="1A671E7E" w:rsidR="00202131" w:rsidRPr="00551B34" w:rsidRDefault="00202131" w:rsidP="00BA5875">
      <w:pPr>
        <w:pStyle w:val="ListParagraph"/>
        <w:numPr>
          <w:ilvl w:val="0"/>
          <w:numId w:val="5"/>
        </w:numPr>
        <w:tabs>
          <w:tab w:val="left" w:pos="540"/>
        </w:tabs>
        <w:spacing w:before="240" w:after="120" w:line="380" w:lineRule="exact"/>
        <w:ind w:left="547" w:hanging="547"/>
        <w:contextualSpacing w:val="0"/>
        <w:rPr>
          <w:rFonts w:ascii="Arial" w:hAnsi="Arial" w:cs="Arial"/>
          <w:b/>
          <w:bCs/>
          <w:sz w:val="22"/>
          <w:szCs w:val="22"/>
        </w:rPr>
      </w:pPr>
      <w:r w:rsidRPr="00551B34">
        <w:rPr>
          <w:rFonts w:ascii="Arial" w:hAnsi="Arial" w:cs="Arial"/>
          <w:b/>
          <w:bCs/>
          <w:sz w:val="22"/>
          <w:szCs w:val="22"/>
        </w:rPr>
        <w:t>Distribution to unitholders</w:t>
      </w:r>
    </w:p>
    <w:p w14:paraId="40818DC4" w14:textId="1719FADD" w:rsidR="00FD5486" w:rsidRPr="00551B34" w:rsidRDefault="00FD5486" w:rsidP="00FD5486">
      <w:pPr>
        <w:spacing w:before="120" w:after="120" w:line="380" w:lineRule="exact"/>
        <w:ind w:left="533"/>
        <w:jc w:val="thaiDistribute"/>
        <w:rPr>
          <w:rFonts w:ascii="Arial" w:hAnsi="Arial" w:cs="Arial"/>
          <w:sz w:val="22"/>
          <w:szCs w:val="22"/>
        </w:rPr>
      </w:pPr>
      <w:r w:rsidRPr="00551B34">
        <w:rPr>
          <w:rFonts w:ascii="Arial" w:hAnsi="Arial" w:cs="Arial"/>
          <w:sz w:val="22"/>
          <w:szCs w:val="22"/>
        </w:rPr>
        <w:t>Distribution paid during</w:t>
      </w:r>
      <w:r w:rsidR="006A53AB" w:rsidRPr="00551B34">
        <w:rPr>
          <w:rFonts w:ascii="Arial" w:hAnsi="Arial" w:cs="Arial"/>
          <w:sz w:val="22"/>
          <w:szCs w:val="22"/>
        </w:rPr>
        <w:t xml:space="preserve"> the </w:t>
      </w:r>
      <w:r w:rsidR="0007125A">
        <w:rPr>
          <w:rFonts w:ascii="Arial" w:hAnsi="Arial" w:cs="Arial"/>
          <w:sz w:val="22"/>
          <w:szCs w:val="22"/>
        </w:rPr>
        <w:t xml:space="preserve">three-month </w:t>
      </w:r>
      <w:r w:rsidR="009935C2" w:rsidRPr="00551B34">
        <w:rPr>
          <w:rFonts w:ascii="Arial" w:hAnsi="Arial" w:cs="Arial"/>
          <w:sz w:val="22"/>
          <w:szCs w:val="22"/>
        </w:rPr>
        <w:t>period</w:t>
      </w:r>
      <w:r w:rsidR="006A53AB" w:rsidRPr="00551B34">
        <w:rPr>
          <w:rFonts w:ascii="Arial" w:hAnsi="Arial" w:cs="Arial"/>
          <w:sz w:val="22"/>
          <w:szCs w:val="22"/>
        </w:rPr>
        <w:t xml:space="preserve"> ended </w:t>
      </w:r>
      <w:r w:rsidR="00CA7822" w:rsidRPr="00551B34">
        <w:rPr>
          <w:rFonts w:ascii="Arial" w:hAnsi="Arial" w:cs="Arial"/>
          <w:sz w:val="22"/>
          <w:szCs w:val="22"/>
        </w:rPr>
        <w:t>31 March 202</w:t>
      </w:r>
      <w:r w:rsidR="00794493">
        <w:rPr>
          <w:rFonts w:ascii="Arial" w:hAnsi="Arial" w:cs="Arial"/>
          <w:sz w:val="22"/>
          <w:szCs w:val="22"/>
        </w:rPr>
        <w:t>5</w:t>
      </w:r>
      <w:r w:rsidRPr="00551B34">
        <w:rPr>
          <w:rFonts w:ascii="Arial" w:hAnsi="Arial" w:cs="Arial"/>
          <w:sz w:val="22"/>
          <w:szCs w:val="22"/>
        </w:rPr>
        <w:t xml:space="preserve"> consists, as follows:</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3960"/>
        <w:gridCol w:w="1260"/>
        <w:gridCol w:w="1890"/>
      </w:tblGrid>
      <w:tr w:rsidR="00F150F2" w:rsidRPr="00551B34" w14:paraId="024A15A2" w14:textId="77777777" w:rsidTr="00EC61EA">
        <w:trPr>
          <w:trHeight w:val="432"/>
        </w:trPr>
        <w:tc>
          <w:tcPr>
            <w:tcW w:w="1980" w:type="dxa"/>
            <w:vAlign w:val="bottom"/>
          </w:tcPr>
          <w:p w14:paraId="45287FB3" w14:textId="77777777" w:rsidR="00772F48" w:rsidRPr="00551B34" w:rsidRDefault="00772F48" w:rsidP="009328B9">
            <w:pPr>
              <w:pBdr>
                <w:bottom w:val="single" w:sz="4" w:space="1" w:color="auto"/>
              </w:pBdr>
              <w:tabs>
                <w:tab w:val="left" w:pos="540"/>
              </w:tabs>
              <w:spacing w:line="380" w:lineRule="exact"/>
              <w:jc w:val="center"/>
              <w:rPr>
                <w:rFonts w:ascii="Arial" w:hAnsi="Arial" w:cs="Arial"/>
                <w:sz w:val="22"/>
                <w:szCs w:val="22"/>
              </w:rPr>
            </w:pPr>
            <w:r w:rsidRPr="00551B34">
              <w:rPr>
                <w:rFonts w:ascii="Arial" w:hAnsi="Arial" w:cs="Arial"/>
                <w:spacing w:val="-6"/>
                <w:sz w:val="22"/>
                <w:szCs w:val="22"/>
                <w:lang w:val="en-GB"/>
              </w:rPr>
              <w:t>Approved date</w:t>
            </w:r>
          </w:p>
        </w:tc>
        <w:tc>
          <w:tcPr>
            <w:tcW w:w="3960" w:type="dxa"/>
            <w:vAlign w:val="bottom"/>
          </w:tcPr>
          <w:p w14:paraId="3DB7C214" w14:textId="77777777" w:rsidR="00772F48" w:rsidRPr="00551B34" w:rsidRDefault="00772F48" w:rsidP="009328B9">
            <w:pPr>
              <w:pStyle w:val="Heading5"/>
              <w:pBdr>
                <w:bottom w:val="single" w:sz="4" w:space="1" w:color="auto"/>
              </w:pBdr>
              <w:spacing w:line="380" w:lineRule="exact"/>
              <w:ind w:left="-43" w:right="-72"/>
              <w:rPr>
                <w:rFonts w:ascii="Arial" w:hAnsi="Arial" w:cs="Arial"/>
                <w:b w:val="0"/>
                <w:bCs w:val="0"/>
                <w:i w:val="0"/>
                <w:iCs w:val="0"/>
                <w:sz w:val="22"/>
                <w:szCs w:val="22"/>
                <w:lang w:val="en-GB" w:eastAsia="en-US"/>
              </w:rPr>
            </w:pPr>
            <w:r w:rsidRPr="00551B34">
              <w:rPr>
                <w:rFonts w:ascii="Arial" w:hAnsi="Arial" w:cs="Arial"/>
                <w:b w:val="0"/>
                <w:bCs w:val="0"/>
                <w:i w:val="0"/>
                <w:iCs w:val="0"/>
                <w:sz w:val="22"/>
                <w:szCs w:val="22"/>
              </w:rPr>
              <w:t>The operation for the period</w:t>
            </w:r>
          </w:p>
        </w:tc>
        <w:tc>
          <w:tcPr>
            <w:tcW w:w="1260" w:type="dxa"/>
            <w:vAlign w:val="bottom"/>
          </w:tcPr>
          <w:p w14:paraId="4D9D611E" w14:textId="77777777" w:rsidR="00772F48" w:rsidRPr="00551B34" w:rsidRDefault="00772F48" w:rsidP="009328B9">
            <w:pPr>
              <w:pBdr>
                <w:bottom w:val="single" w:sz="4" w:space="1" w:color="auto"/>
              </w:pBdr>
              <w:tabs>
                <w:tab w:val="left" w:pos="540"/>
              </w:tabs>
              <w:spacing w:line="380" w:lineRule="exact"/>
              <w:jc w:val="center"/>
              <w:rPr>
                <w:rFonts w:ascii="Arial" w:hAnsi="Arial" w:cs="Arial"/>
                <w:sz w:val="22"/>
                <w:szCs w:val="22"/>
              </w:rPr>
            </w:pPr>
            <w:r w:rsidRPr="00551B34">
              <w:rPr>
                <w:rFonts w:ascii="Arial" w:hAnsi="Arial" w:cs="Arial"/>
                <w:sz w:val="22"/>
                <w:szCs w:val="22"/>
                <w:lang w:val="en-GB"/>
              </w:rPr>
              <w:t>Per unit</w:t>
            </w:r>
          </w:p>
        </w:tc>
        <w:tc>
          <w:tcPr>
            <w:tcW w:w="1890" w:type="dxa"/>
            <w:vAlign w:val="bottom"/>
          </w:tcPr>
          <w:p w14:paraId="29A38C4C" w14:textId="77777777" w:rsidR="00772F48" w:rsidRPr="00551B34" w:rsidRDefault="00772F48" w:rsidP="009328B9">
            <w:pPr>
              <w:pBdr>
                <w:bottom w:val="single" w:sz="4" w:space="1" w:color="auto"/>
              </w:pBdr>
              <w:tabs>
                <w:tab w:val="left" w:pos="540"/>
              </w:tabs>
              <w:spacing w:line="380" w:lineRule="exact"/>
              <w:jc w:val="center"/>
              <w:rPr>
                <w:rFonts w:ascii="Arial" w:hAnsi="Arial" w:cs="Arial"/>
                <w:sz w:val="22"/>
                <w:szCs w:val="22"/>
              </w:rPr>
            </w:pPr>
            <w:r w:rsidRPr="00551B34">
              <w:rPr>
                <w:rFonts w:ascii="Arial" w:hAnsi="Arial" w:cs="Arial"/>
                <w:sz w:val="22"/>
                <w:szCs w:val="22"/>
              </w:rPr>
              <w:t>Total</w:t>
            </w:r>
          </w:p>
        </w:tc>
      </w:tr>
      <w:tr w:rsidR="00F150F2" w:rsidRPr="00551B34" w14:paraId="26280A91" w14:textId="77777777" w:rsidTr="00EC61EA">
        <w:trPr>
          <w:trHeight w:val="432"/>
        </w:trPr>
        <w:tc>
          <w:tcPr>
            <w:tcW w:w="1980" w:type="dxa"/>
            <w:vAlign w:val="center"/>
          </w:tcPr>
          <w:p w14:paraId="6F2C890B" w14:textId="77777777" w:rsidR="00F150F2" w:rsidRPr="00551B34" w:rsidRDefault="00F150F2" w:rsidP="009328B9">
            <w:pPr>
              <w:tabs>
                <w:tab w:val="left" w:pos="540"/>
              </w:tabs>
              <w:spacing w:line="380" w:lineRule="exact"/>
              <w:jc w:val="center"/>
              <w:rPr>
                <w:rFonts w:ascii="Arial" w:hAnsi="Arial" w:cs="Arial"/>
                <w:sz w:val="22"/>
                <w:szCs w:val="22"/>
              </w:rPr>
            </w:pPr>
          </w:p>
        </w:tc>
        <w:tc>
          <w:tcPr>
            <w:tcW w:w="3960" w:type="dxa"/>
            <w:vAlign w:val="bottom"/>
          </w:tcPr>
          <w:p w14:paraId="1A9256BF" w14:textId="77777777" w:rsidR="00F150F2" w:rsidRPr="00551B34" w:rsidRDefault="00F150F2" w:rsidP="009328B9">
            <w:pPr>
              <w:spacing w:line="380" w:lineRule="exact"/>
              <w:ind w:left="-43" w:right="-72"/>
              <w:jc w:val="center"/>
              <w:rPr>
                <w:rFonts w:ascii="Arial" w:hAnsi="Arial" w:cs="Arial"/>
                <w:b/>
                <w:bCs/>
                <w:sz w:val="22"/>
                <w:szCs w:val="22"/>
                <w:lang w:val="en-GB"/>
              </w:rPr>
            </w:pPr>
          </w:p>
        </w:tc>
        <w:tc>
          <w:tcPr>
            <w:tcW w:w="1260" w:type="dxa"/>
            <w:vAlign w:val="center"/>
          </w:tcPr>
          <w:p w14:paraId="7B16AF94" w14:textId="77777777" w:rsidR="00F150F2" w:rsidRPr="00551B34" w:rsidRDefault="00F150F2" w:rsidP="009328B9">
            <w:pPr>
              <w:tabs>
                <w:tab w:val="left" w:pos="540"/>
              </w:tabs>
              <w:spacing w:line="380" w:lineRule="exact"/>
              <w:jc w:val="center"/>
              <w:rPr>
                <w:rFonts w:ascii="Arial" w:hAnsi="Arial" w:cs="Arial"/>
                <w:sz w:val="22"/>
                <w:szCs w:val="22"/>
              </w:rPr>
            </w:pPr>
            <w:r w:rsidRPr="00551B34">
              <w:rPr>
                <w:rFonts w:ascii="Arial" w:hAnsi="Arial" w:cs="Arial"/>
                <w:sz w:val="22"/>
                <w:szCs w:val="22"/>
                <w:cs/>
              </w:rPr>
              <w:t>(</w:t>
            </w:r>
            <w:r w:rsidRPr="00551B34">
              <w:rPr>
                <w:rFonts w:ascii="Arial" w:hAnsi="Arial" w:cs="Arial"/>
                <w:sz w:val="22"/>
                <w:szCs w:val="22"/>
              </w:rPr>
              <w:t>Baht</w:t>
            </w:r>
            <w:r w:rsidRPr="00551B34">
              <w:rPr>
                <w:rFonts w:ascii="Arial" w:hAnsi="Arial" w:cs="Arial"/>
                <w:sz w:val="22"/>
                <w:szCs w:val="22"/>
                <w:cs/>
              </w:rPr>
              <w:t>)</w:t>
            </w:r>
          </w:p>
        </w:tc>
        <w:tc>
          <w:tcPr>
            <w:tcW w:w="1890" w:type="dxa"/>
            <w:vAlign w:val="center"/>
          </w:tcPr>
          <w:p w14:paraId="305ACAEF" w14:textId="77777777" w:rsidR="00F150F2" w:rsidRPr="00551B34" w:rsidRDefault="00F150F2" w:rsidP="009328B9">
            <w:pPr>
              <w:tabs>
                <w:tab w:val="left" w:pos="540"/>
              </w:tabs>
              <w:spacing w:line="380" w:lineRule="exact"/>
              <w:jc w:val="center"/>
              <w:rPr>
                <w:rFonts w:ascii="Arial" w:hAnsi="Arial" w:cs="Arial"/>
                <w:sz w:val="22"/>
                <w:szCs w:val="22"/>
              </w:rPr>
            </w:pPr>
            <w:r w:rsidRPr="00551B34">
              <w:rPr>
                <w:rFonts w:ascii="Arial" w:hAnsi="Arial" w:cs="Arial"/>
                <w:sz w:val="22"/>
                <w:szCs w:val="22"/>
                <w:cs/>
              </w:rPr>
              <w:t>(</w:t>
            </w:r>
            <w:r w:rsidRPr="00551B34">
              <w:rPr>
                <w:rFonts w:ascii="Arial" w:eastAsia="Arial Unicode MS" w:hAnsi="Arial" w:cs="Arial"/>
                <w:sz w:val="22"/>
                <w:szCs w:val="22"/>
              </w:rPr>
              <w:t>Thousand Baht</w:t>
            </w:r>
            <w:r w:rsidRPr="00551B34">
              <w:rPr>
                <w:rFonts w:ascii="Arial" w:hAnsi="Arial" w:cs="Arial"/>
                <w:sz w:val="22"/>
                <w:szCs w:val="22"/>
                <w:cs/>
              </w:rPr>
              <w:t>)</w:t>
            </w:r>
          </w:p>
        </w:tc>
      </w:tr>
      <w:tr w:rsidR="00347393" w:rsidRPr="00551B34" w14:paraId="74193501" w14:textId="77777777" w:rsidTr="00EC61EA">
        <w:trPr>
          <w:trHeight w:val="432"/>
        </w:trPr>
        <w:tc>
          <w:tcPr>
            <w:tcW w:w="1980" w:type="dxa"/>
            <w:vAlign w:val="bottom"/>
          </w:tcPr>
          <w:p w14:paraId="692A2B0C" w14:textId="7AC67910" w:rsidR="00347393" w:rsidRPr="00551B34" w:rsidRDefault="00347393" w:rsidP="00347393">
            <w:pPr>
              <w:tabs>
                <w:tab w:val="left" w:pos="540"/>
              </w:tabs>
              <w:spacing w:line="380" w:lineRule="exact"/>
              <w:rPr>
                <w:rFonts w:ascii="Arial" w:hAnsi="Arial" w:cs="Arial"/>
                <w:sz w:val="22"/>
                <w:szCs w:val="22"/>
              </w:rPr>
            </w:pPr>
            <w:r w:rsidRPr="00551B34">
              <w:rPr>
                <w:rFonts w:ascii="Arial" w:hAnsi="Arial" w:cs="Arial"/>
                <w:sz w:val="22"/>
                <w:szCs w:val="22"/>
              </w:rPr>
              <w:t>2</w:t>
            </w:r>
            <w:r w:rsidR="006A01FF" w:rsidRPr="00551B34">
              <w:rPr>
                <w:rFonts w:ascii="Arial" w:hAnsi="Arial" w:cs="Arial"/>
                <w:sz w:val="22"/>
                <w:szCs w:val="22"/>
              </w:rPr>
              <w:t>6</w:t>
            </w:r>
            <w:r w:rsidRPr="00551B34">
              <w:rPr>
                <w:rFonts w:ascii="Arial" w:hAnsi="Arial" w:cs="Arial"/>
                <w:sz w:val="22"/>
                <w:szCs w:val="22"/>
              </w:rPr>
              <w:t xml:space="preserve"> February 202</w:t>
            </w:r>
            <w:r w:rsidR="006A01FF" w:rsidRPr="00551B34">
              <w:rPr>
                <w:rFonts w:ascii="Arial" w:hAnsi="Arial" w:cs="Arial"/>
                <w:sz w:val="22"/>
                <w:szCs w:val="22"/>
              </w:rPr>
              <w:t>5</w:t>
            </w:r>
          </w:p>
        </w:tc>
        <w:tc>
          <w:tcPr>
            <w:tcW w:w="3960" w:type="dxa"/>
            <w:vAlign w:val="bottom"/>
          </w:tcPr>
          <w:p w14:paraId="11C26B6A" w14:textId="1F34BD2B" w:rsidR="00347393" w:rsidRPr="00551B34" w:rsidRDefault="00347393" w:rsidP="00347393">
            <w:pPr>
              <w:tabs>
                <w:tab w:val="left" w:pos="540"/>
              </w:tabs>
              <w:spacing w:line="380" w:lineRule="exact"/>
              <w:rPr>
                <w:rFonts w:ascii="Arial" w:hAnsi="Arial" w:cs="Arial"/>
                <w:sz w:val="22"/>
                <w:szCs w:val="22"/>
              </w:rPr>
            </w:pPr>
            <w:r w:rsidRPr="00551B34">
              <w:rPr>
                <w:rFonts w:ascii="Arial" w:hAnsi="Arial" w:cs="Arial"/>
                <w:sz w:val="22"/>
                <w:szCs w:val="22"/>
              </w:rPr>
              <w:t>1 October 202</w:t>
            </w:r>
            <w:r w:rsidR="006A01FF" w:rsidRPr="00551B34">
              <w:rPr>
                <w:rFonts w:ascii="Arial" w:hAnsi="Arial" w:cs="Arial"/>
                <w:sz w:val="22"/>
                <w:szCs w:val="22"/>
              </w:rPr>
              <w:t>4</w:t>
            </w:r>
            <w:r w:rsidRPr="00551B34">
              <w:rPr>
                <w:rFonts w:ascii="Arial" w:hAnsi="Arial" w:cs="Arial"/>
                <w:sz w:val="22"/>
                <w:szCs w:val="22"/>
              </w:rPr>
              <w:t xml:space="preserve"> </w:t>
            </w:r>
            <w:r w:rsidR="00EC61EA" w:rsidRPr="00551B34">
              <w:rPr>
                <w:rFonts w:ascii="Arial" w:hAnsi="Arial" w:cs="Arial"/>
                <w:sz w:val="22"/>
                <w:szCs w:val="22"/>
              </w:rPr>
              <w:t>to</w:t>
            </w:r>
            <w:r w:rsidRPr="00551B34">
              <w:rPr>
                <w:rFonts w:ascii="Arial" w:hAnsi="Arial" w:cs="Arial"/>
                <w:sz w:val="22"/>
                <w:szCs w:val="22"/>
              </w:rPr>
              <w:t xml:space="preserve"> 31 December 202</w:t>
            </w:r>
            <w:r w:rsidR="00253137" w:rsidRPr="00551B34">
              <w:rPr>
                <w:rFonts w:ascii="Arial" w:hAnsi="Arial" w:cs="Arial"/>
                <w:sz w:val="22"/>
                <w:szCs w:val="22"/>
              </w:rPr>
              <w:t>4</w:t>
            </w:r>
          </w:p>
        </w:tc>
        <w:tc>
          <w:tcPr>
            <w:tcW w:w="1260" w:type="dxa"/>
            <w:vAlign w:val="bottom"/>
          </w:tcPr>
          <w:p w14:paraId="6A9F853E" w14:textId="5B757D4E" w:rsidR="00347393" w:rsidRPr="00551B34" w:rsidRDefault="00347393" w:rsidP="00347393">
            <w:pPr>
              <w:tabs>
                <w:tab w:val="left" w:pos="540"/>
              </w:tabs>
              <w:spacing w:line="380" w:lineRule="exact"/>
              <w:jc w:val="center"/>
              <w:rPr>
                <w:rFonts w:ascii="Arial" w:hAnsi="Arial" w:cs="Arial"/>
                <w:sz w:val="22"/>
                <w:szCs w:val="22"/>
              </w:rPr>
            </w:pPr>
            <w:r w:rsidRPr="00551B34">
              <w:rPr>
                <w:rFonts w:ascii="Arial" w:hAnsi="Arial" w:cs="Arial"/>
                <w:sz w:val="22"/>
                <w:szCs w:val="22"/>
              </w:rPr>
              <w:t>0.1</w:t>
            </w:r>
            <w:r w:rsidR="00253137" w:rsidRPr="00551B34">
              <w:rPr>
                <w:rFonts w:ascii="Arial" w:hAnsi="Arial" w:cs="Arial"/>
                <w:sz w:val="22"/>
                <w:szCs w:val="22"/>
              </w:rPr>
              <w:t>762</w:t>
            </w:r>
          </w:p>
        </w:tc>
        <w:tc>
          <w:tcPr>
            <w:tcW w:w="1890" w:type="dxa"/>
          </w:tcPr>
          <w:p w14:paraId="04C77D29" w14:textId="7CE8E673" w:rsidR="00347393" w:rsidRPr="00551B34" w:rsidRDefault="00053564" w:rsidP="006C2220">
            <w:pPr>
              <w:pBdr>
                <w:bottom w:val="single" w:sz="4" w:space="1" w:color="auto"/>
              </w:pBdr>
              <w:tabs>
                <w:tab w:val="decimal" w:pos="1512"/>
              </w:tabs>
              <w:spacing w:line="380" w:lineRule="exact"/>
              <w:ind w:left="-18" w:right="29"/>
              <w:jc w:val="both"/>
              <w:rPr>
                <w:rFonts w:ascii="Arial" w:hAnsi="Arial" w:cs="Arial"/>
                <w:sz w:val="22"/>
                <w:szCs w:val="22"/>
              </w:rPr>
            </w:pPr>
            <w:r w:rsidRPr="00551B34">
              <w:rPr>
                <w:rFonts w:ascii="Arial" w:hAnsi="Arial" w:cs="Arial"/>
                <w:sz w:val="22"/>
                <w:szCs w:val="22"/>
              </w:rPr>
              <w:t>1</w:t>
            </w:r>
            <w:r w:rsidR="00253137" w:rsidRPr="00551B34">
              <w:rPr>
                <w:rFonts w:ascii="Arial" w:hAnsi="Arial" w:cs="Arial"/>
                <w:sz w:val="22"/>
                <w:szCs w:val="22"/>
              </w:rPr>
              <w:t>30</w:t>
            </w:r>
            <w:r w:rsidRPr="00551B34">
              <w:rPr>
                <w:rFonts w:ascii="Arial" w:hAnsi="Arial" w:cs="Arial"/>
                <w:sz w:val="22"/>
                <w:szCs w:val="22"/>
              </w:rPr>
              <w:t>,</w:t>
            </w:r>
            <w:r w:rsidR="00253137" w:rsidRPr="00551B34">
              <w:rPr>
                <w:rFonts w:ascii="Arial" w:hAnsi="Arial" w:cs="Arial"/>
                <w:sz w:val="22"/>
                <w:szCs w:val="22"/>
              </w:rPr>
              <w:t>013</w:t>
            </w:r>
          </w:p>
        </w:tc>
      </w:tr>
      <w:tr w:rsidR="00B92C53" w:rsidRPr="00551B34" w14:paraId="4BB46E98" w14:textId="77777777" w:rsidTr="00BB3881">
        <w:trPr>
          <w:trHeight w:val="432"/>
        </w:trPr>
        <w:tc>
          <w:tcPr>
            <w:tcW w:w="5940" w:type="dxa"/>
            <w:gridSpan w:val="2"/>
            <w:vAlign w:val="bottom"/>
          </w:tcPr>
          <w:p w14:paraId="306AC395" w14:textId="70D2F7E5" w:rsidR="00B92C53" w:rsidRPr="00551B34" w:rsidRDefault="00B92C53" w:rsidP="00B92C53">
            <w:pPr>
              <w:tabs>
                <w:tab w:val="left" w:pos="540"/>
              </w:tabs>
              <w:spacing w:line="380" w:lineRule="exact"/>
              <w:rPr>
                <w:rFonts w:ascii="Arial" w:hAnsi="Arial" w:cs="Arial"/>
                <w:sz w:val="22"/>
                <w:szCs w:val="22"/>
              </w:rPr>
            </w:pPr>
            <w:r w:rsidRPr="00551B34">
              <w:rPr>
                <w:rFonts w:ascii="Arial" w:hAnsi="Arial" w:cs="Arial"/>
                <w:sz w:val="22"/>
                <w:szCs w:val="22"/>
              </w:rPr>
              <w:t>Total distributions for the year 202</w:t>
            </w:r>
            <w:r w:rsidR="00253137" w:rsidRPr="00551B34">
              <w:rPr>
                <w:rFonts w:ascii="Arial" w:hAnsi="Arial" w:cs="Arial"/>
                <w:sz w:val="22"/>
                <w:szCs w:val="22"/>
              </w:rPr>
              <w:t>5</w:t>
            </w:r>
          </w:p>
        </w:tc>
        <w:tc>
          <w:tcPr>
            <w:tcW w:w="1260" w:type="dxa"/>
            <w:vAlign w:val="bottom"/>
          </w:tcPr>
          <w:p w14:paraId="0ADDE8E0" w14:textId="77777777" w:rsidR="00B92C53" w:rsidRPr="00551B34" w:rsidRDefault="00B92C53" w:rsidP="00347393">
            <w:pPr>
              <w:tabs>
                <w:tab w:val="left" w:pos="540"/>
              </w:tabs>
              <w:spacing w:line="380" w:lineRule="exact"/>
              <w:jc w:val="center"/>
              <w:rPr>
                <w:rFonts w:ascii="Arial" w:hAnsi="Arial" w:cs="Arial"/>
                <w:sz w:val="22"/>
                <w:szCs w:val="22"/>
              </w:rPr>
            </w:pPr>
          </w:p>
        </w:tc>
        <w:tc>
          <w:tcPr>
            <w:tcW w:w="1890" w:type="dxa"/>
          </w:tcPr>
          <w:p w14:paraId="7E3B8042" w14:textId="162167AF" w:rsidR="00B92C53" w:rsidRPr="00551B34" w:rsidRDefault="00053564" w:rsidP="00347393">
            <w:pPr>
              <w:pBdr>
                <w:bottom w:val="double" w:sz="4" w:space="1" w:color="auto"/>
              </w:pBdr>
              <w:tabs>
                <w:tab w:val="decimal" w:pos="1512"/>
              </w:tabs>
              <w:spacing w:line="380" w:lineRule="exact"/>
              <w:ind w:left="-18" w:right="29"/>
              <w:jc w:val="both"/>
              <w:rPr>
                <w:rFonts w:ascii="Arial" w:hAnsi="Arial" w:cs="Arial"/>
                <w:sz w:val="22"/>
                <w:szCs w:val="22"/>
              </w:rPr>
            </w:pPr>
            <w:r w:rsidRPr="00551B34">
              <w:rPr>
                <w:rFonts w:ascii="Arial" w:hAnsi="Arial" w:cs="Arial"/>
                <w:sz w:val="22"/>
                <w:szCs w:val="22"/>
              </w:rPr>
              <w:t>1</w:t>
            </w:r>
            <w:r w:rsidR="00253137" w:rsidRPr="00551B34">
              <w:rPr>
                <w:rFonts w:ascii="Arial" w:hAnsi="Arial" w:cs="Arial"/>
                <w:sz w:val="22"/>
                <w:szCs w:val="22"/>
              </w:rPr>
              <w:t>30</w:t>
            </w:r>
            <w:r w:rsidRPr="00551B34">
              <w:rPr>
                <w:rFonts w:ascii="Arial" w:hAnsi="Arial" w:cs="Arial"/>
                <w:sz w:val="22"/>
                <w:szCs w:val="22"/>
              </w:rPr>
              <w:t>,</w:t>
            </w:r>
            <w:r w:rsidR="00253137" w:rsidRPr="00551B34">
              <w:rPr>
                <w:rFonts w:ascii="Arial" w:hAnsi="Arial" w:cs="Arial"/>
                <w:sz w:val="22"/>
                <w:szCs w:val="22"/>
              </w:rPr>
              <w:t>013</w:t>
            </w:r>
          </w:p>
        </w:tc>
      </w:tr>
    </w:tbl>
    <w:p w14:paraId="1FDD8077" w14:textId="025650FB" w:rsidR="00347BC2" w:rsidRPr="00551B34" w:rsidRDefault="00347BC2" w:rsidP="009B6940">
      <w:pPr>
        <w:pStyle w:val="ListParagraph"/>
        <w:numPr>
          <w:ilvl w:val="0"/>
          <w:numId w:val="5"/>
        </w:numPr>
        <w:tabs>
          <w:tab w:val="left" w:pos="540"/>
        </w:tabs>
        <w:spacing w:before="240" w:after="120" w:line="380" w:lineRule="exact"/>
        <w:ind w:left="547" w:hanging="547"/>
        <w:contextualSpacing w:val="0"/>
        <w:rPr>
          <w:rFonts w:ascii="Arial" w:hAnsi="Arial" w:cs="Arial"/>
          <w:b/>
          <w:bCs/>
          <w:sz w:val="22"/>
          <w:szCs w:val="22"/>
        </w:rPr>
      </w:pPr>
      <w:r w:rsidRPr="00551B34">
        <w:rPr>
          <w:rFonts w:ascii="Arial" w:hAnsi="Arial" w:cs="Arial"/>
          <w:b/>
          <w:bCs/>
          <w:sz w:val="22"/>
          <w:szCs w:val="22"/>
        </w:rPr>
        <w:t>Related party transactions</w:t>
      </w:r>
    </w:p>
    <w:p w14:paraId="0F962B07" w14:textId="2363FCA5" w:rsidR="00347BC2" w:rsidRPr="00551B34" w:rsidRDefault="00113513" w:rsidP="00E34C25">
      <w:pPr>
        <w:spacing w:before="120" w:after="120" w:line="380" w:lineRule="exact"/>
        <w:ind w:left="547"/>
        <w:jc w:val="thaiDistribute"/>
        <w:rPr>
          <w:rFonts w:ascii="Arial" w:hAnsi="Arial" w:cs="Arial"/>
          <w:sz w:val="22"/>
          <w:szCs w:val="22"/>
        </w:rPr>
      </w:pPr>
      <w:r w:rsidRPr="00551B34">
        <w:rPr>
          <w:rFonts w:ascii="Arial" w:hAnsi="Arial" w:cs="Arial"/>
          <w:sz w:val="22"/>
          <w:szCs w:val="22"/>
        </w:rPr>
        <w:t>During the period</w:t>
      </w:r>
      <w:r w:rsidR="00347BC2" w:rsidRPr="00551B34">
        <w:rPr>
          <w:rFonts w:ascii="Arial" w:hAnsi="Arial" w:cs="Arial"/>
          <w:sz w:val="22"/>
          <w:szCs w:val="22"/>
        </w:rPr>
        <w:t xml:space="preserve">, the Trust had significant business transactions with its related parties, which have been agreed upon in the ordinary course of business between the Trust and its related parties. The pricing policies and amount for </w:t>
      </w:r>
      <w:proofErr w:type="gramStart"/>
      <w:r w:rsidR="00347BC2" w:rsidRPr="00551B34">
        <w:rPr>
          <w:rFonts w:ascii="Arial" w:hAnsi="Arial" w:cs="Arial"/>
          <w:sz w:val="22"/>
          <w:szCs w:val="22"/>
        </w:rPr>
        <w:t>particular type of transactions</w:t>
      </w:r>
      <w:proofErr w:type="gramEnd"/>
      <w:r w:rsidR="00347BC2" w:rsidRPr="00551B34">
        <w:rPr>
          <w:rFonts w:ascii="Arial" w:hAnsi="Arial" w:cs="Arial"/>
          <w:sz w:val="22"/>
          <w:szCs w:val="22"/>
        </w:rPr>
        <w:t xml:space="preserve"> are as follows:</w:t>
      </w:r>
    </w:p>
    <w:tbl>
      <w:tblPr>
        <w:tblW w:w="9090" w:type="dxa"/>
        <w:tblInd w:w="450" w:type="dxa"/>
        <w:tblLayout w:type="fixed"/>
        <w:tblLook w:val="0000" w:firstRow="0" w:lastRow="0" w:firstColumn="0" w:lastColumn="0" w:noHBand="0" w:noVBand="0"/>
      </w:tblPr>
      <w:tblGrid>
        <w:gridCol w:w="6120"/>
        <w:gridCol w:w="1530"/>
        <w:gridCol w:w="1440"/>
      </w:tblGrid>
      <w:tr w:rsidR="003E7D46" w:rsidRPr="00551B34" w14:paraId="05125BCA" w14:textId="77777777" w:rsidTr="003A704E">
        <w:trPr>
          <w:trHeight w:val="315"/>
          <w:tblHeader/>
        </w:trPr>
        <w:tc>
          <w:tcPr>
            <w:tcW w:w="9090" w:type="dxa"/>
            <w:gridSpan w:val="3"/>
          </w:tcPr>
          <w:p w14:paraId="3013DD02" w14:textId="20F0BFB1" w:rsidR="003E7D46" w:rsidRPr="00551B34" w:rsidRDefault="003E7D46" w:rsidP="006252FA">
            <w:pPr>
              <w:spacing w:line="380" w:lineRule="exact"/>
              <w:jc w:val="right"/>
              <w:rPr>
                <w:rFonts w:ascii="Arial" w:hAnsi="Arial" w:cs="Arial"/>
                <w:sz w:val="22"/>
                <w:szCs w:val="22"/>
              </w:rPr>
            </w:pPr>
            <w:r w:rsidRPr="00551B34">
              <w:rPr>
                <w:rFonts w:ascii="Arial" w:hAnsi="Arial" w:cs="Arial"/>
                <w:sz w:val="22"/>
                <w:szCs w:val="22"/>
              </w:rPr>
              <w:t>(Unit: Thousand Baht)</w:t>
            </w:r>
          </w:p>
        </w:tc>
      </w:tr>
      <w:tr w:rsidR="003A704E" w:rsidRPr="00551B34" w14:paraId="2C06A1AA" w14:textId="77777777" w:rsidTr="003A704E">
        <w:trPr>
          <w:trHeight w:val="288"/>
          <w:tblHeader/>
        </w:trPr>
        <w:tc>
          <w:tcPr>
            <w:tcW w:w="6120" w:type="dxa"/>
          </w:tcPr>
          <w:p w14:paraId="2C58017E" w14:textId="2D5BF721" w:rsidR="003A704E" w:rsidRPr="00551B34" w:rsidRDefault="003A704E" w:rsidP="00F7585E">
            <w:pPr>
              <w:spacing w:line="380" w:lineRule="exact"/>
              <w:ind w:right="-108"/>
              <w:jc w:val="both"/>
              <w:rPr>
                <w:rFonts w:ascii="Arial" w:hAnsi="Arial" w:cs="Arial"/>
                <w:sz w:val="22"/>
                <w:szCs w:val="22"/>
              </w:rPr>
            </w:pPr>
            <w:r w:rsidRPr="00551B34">
              <w:rPr>
                <w:rFonts w:ascii="Arial" w:hAnsi="Arial" w:cs="Arial"/>
                <w:sz w:val="22"/>
                <w:szCs w:val="22"/>
              </w:rPr>
              <w:br w:type="page"/>
            </w:r>
          </w:p>
        </w:tc>
        <w:tc>
          <w:tcPr>
            <w:tcW w:w="2970" w:type="dxa"/>
            <w:gridSpan w:val="2"/>
            <w:vAlign w:val="bottom"/>
          </w:tcPr>
          <w:p w14:paraId="473DFF96" w14:textId="3AF5BF40" w:rsidR="003A704E" w:rsidRPr="00551B34" w:rsidRDefault="003A704E" w:rsidP="00F7585E">
            <w:pPr>
              <w:pBdr>
                <w:bottom w:val="single" w:sz="4" w:space="1" w:color="auto"/>
              </w:pBdr>
              <w:spacing w:line="380" w:lineRule="exact"/>
              <w:jc w:val="center"/>
              <w:rPr>
                <w:rFonts w:ascii="Arial" w:hAnsi="Arial" w:cs="Arial"/>
                <w:sz w:val="22"/>
                <w:szCs w:val="22"/>
              </w:rPr>
            </w:pPr>
            <w:r w:rsidRPr="00551B34">
              <w:rPr>
                <w:rFonts w:ascii="Arial" w:hAnsi="Arial" w:cs="Arial"/>
                <w:sz w:val="22"/>
                <w:szCs w:val="22"/>
              </w:rPr>
              <w:t>For the three-month periods                                ended 31 March</w:t>
            </w:r>
          </w:p>
        </w:tc>
      </w:tr>
      <w:tr w:rsidR="003A704E" w:rsidRPr="00551B34" w14:paraId="60AD08F7" w14:textId="77777777" w:rsidTr="003A704E">
        <w:trPr>
          <w:trHeight w:val="288"/>
          <w:tblHeader/>
        </w:trPr>
        <w:tc>
          <w:tcPr>
            <w:tcW w:w="6120" w:type="dxa"/>
          </w:tcPr>
          <w:p w14:paraId="1574BAF2" w14:textId="77777777" w:rsidR="003A704E" w:rsidRPr="00551B34" w:rsidRDefault="003A704E" w:rsidP="00F7585E">
            <w:pPr>
              <w:spacing w:line="380" w:lineRule="exact"/>
              <w:rPr>
                <w:rFonts w:ascii="Arial" w:eastAsia="Arial Unicode MS" w:hAnsi="Arial" w:cs="Arial"/>
                <w:sz w:val="22"/>
                <w:szCs w:val="22"/>
                <w:cs/>
              </w:rPr>
            </w:pPr>
          </w:p>
        </w:tc>
        <w:tc>
          <w:tcPr>
            <w:tcW w:w="1530" w:type="dxa"/>
          </w:tcPr>
          <w:p w14:paraId="3A3494A1" w14:textId="3A42B941" w:rsidR="003A704E" w:rsidRPr="00551B34" w:rsidRDefault="003A704E" w:rsidP="00F7585E">
            <w:pPr>
              <w:pBdr>
                <w:bottom w:val="single" w:sz="4" w:space="1" w:color="auto"/>
              </w:pBdr>
              <w:spacing w:line="380" w:lineRule="exact"/>
              <w:jc w:val="center"/>
              <w:rPr>
                <w:rFonts w:ascii="Arial" w:eastAsia="Arial Unicode MS" w:hAnsi="Arial" w:cs="Arial"/>
                <w:sz w:val="22"/>
                <w:szCs w:val="22"/>
                <w:cs/>
              </w:rPr>
            </w:pPr>
            <w:r w:rsidRPr="00551B34">
              <w:rPr>
                <w:rFonts w:ascii="Arial" w:eastAsia="Arial Unicode MS" w:hAnsi="Arial" w:cs="Arial"/>
                <w:sz w:val="22"/>
                <w:szCs w:val="22"/>
              </w:rPr>
              <w:t>202</w:t>
            </w:r>
            <w:r w:rsidR="008131AC" w:rsidRPr="00551B34">
              <w:rPr>
                <w:rFonts w:ascii="Arial" w:eastAsia="Arial Unicode MS" w:hAnsi="Arial" w:cs="Arial"/>
                <w:sz w:val="22"/>
                <w:szCs w:val="22"/>
              </w:rPr>
              <w:t>5</w:t>
            </w:r>
          </w:p>
        </w:tc>
        <w:tc>
          <w:tcPr>
            <w:tcW w:w="1440" w:type="dxa"/>
          </w:tcPr>
          <w:p w14:paraId="0E36BF9B" w14:textId="53034357" w:rsidR="003A704E" w:rsidRPr="00551B34" w:rsidRDefault="003A704E" w:rsidP="00F7585E">
            <w:pPr>
              <w:pBdr>
                <w:bottom w:val="single" w:sz="4" w:space="1" w:color="auto"/>
              </w:pBdr>
              <w:spacing w:line="380" w:lineRule="exact"/>
              <w:ind w:left="132" w:hanging="120"/>
              <w:jc w:val="center"/>
              <w:rPr>
                <w:rFonts w:ascii="Arial" w:eastAsia="Arial Unicode MS" w:hAnsi="Arial" w:cs="Arial"/>
                <w:sz w:val="22"/>
                <w:szCs w:val="22"/>
              </w:rPr>
            </w:pPr>
            <w:r w:rsidRPr="00551B34">
              <w:rPr>
                <w:rFonts w:ascii="Arial" w:eastAsia="Arial Unicode MS" w:hAnsi="Arial" w:cs="Arial"/>
                <w:sz w:val="22"/>
                <w:szCs w:val="22"/>
              </w:rPr>
              <w:t>202</w:t>
            </w:r>
            <w:r w:rsidR="008131AC" w:rsidRPr="00551B34">
              <w:rPr>
                <w:rFonts w:ascii="Arial" w:eastAsia="Arial Unicode MS" w:hAnsi="Arial" w:cs="Arial"/>
                <w:sz w:val="22"/>
                <w:szCs w:val="22"/>
              </w:rPr>
              <w:t>4</w:t>
            </w:r>
          </w:p>
        </w:tc>
      </w:tr>
      <w:tr w:rsidR="003A704E" w:rsidRPr="00551B34" w14:paraId="033431FE" w14:textId="77777777" w:rsidTr="003A704E">
        <w:trPr>
          <w:trHeight w:val="288"/>
        </w:trPr>
        <w:tc>
          <w:tcPr>
            <w:tcW w:w="6120" w:type="dxa"/>
          </w:tcPr>
          <w:p w14:paraId="693DE6B0" w14:textId="77777777" w:rsidR="003A704E" w:rsidRPr="00551B34" w:rsidRDefault="003A704E" w:rsidP="00F7585E">
            <w:pPr>
              <w:spacing w:line="380" w:lineRule="exact"/>
              <w:rPr>
                <w:rFonts w:ascii="Arial" w:eastAsia="Arial Unicode MS" w:hAnsi="Arial" w:cs="Arial"/>
                <w:sz w:val="22"/>
                <w:szCs w:val="22"/>
                <w:cs/>
              </w:rPr>
            </w:pPr>
            <w:proofErr w:type="spellStart"/>
            <w:r w:rsidRPr="00551B34">
              <w:rPr>
                <w:rFonts w:ascii="Arial" w:hAnsi="Arial" w:cs="Arial"/>
                <w:b/>
                <w:bCs/>
                <w:sz w:val="22"/>
                <w:szCs w:val="22"/>
              </w:rPr>
              <w:t>Bhiraj</w:t>
            </w:r>
            <w:proofErr w:type="spellEnd"/>
            <w:r w:rsidRPr="00551B34">
              <w:rPr>
                <w:rFonts w:ascii="Arial" w:hAnsi="Arial" w:cs="Arial"/>
                <w:b/>
                <w:bCs/>
                <w:sz w:val="22"/>
                <w:szCs w:val="22"/>
              </w:rPr>
              <w:t xml:space="preserve"> Buri Company Limited</w:t>
            </w:r>
          </w:p>
        </w:tc>
        <w:tc>
          <w:tcPr>
            <w:tcW w:w="1530" w:type="dxa"/>
          </w:tcPr>
          <w:p w14:paraId="06C7CA8D" w14:textId="77777777" w:rsidR="003A704E" w:rsidRPr="00551B34" w:rsidRDefault="003A704E" w:rsidP="00F7585E">
            <w:pPr>
              <w:tabs>
                <w:tab w:val="decimal" w:pos="1593"/>
              </w:tabs>
              <w:spacing w:line="380" w:lineRule="exact"/>
              <w:rPr>
                <w:rFonts w:ascii="Arial" w:eastAsia="Arial Unicode MS" w:hAnsi="Arial" w:cs="Arial"/>
                <w:sz w:val="22"/>
                <w:szCs w:val="22"/>
                <w:cs/>
              </w:rPr>
            </w:pPr>
          </w:p>
        </w:tc>
        <w:tc>
          <w:tcPr>
            <w:tcW w:w="1440" w:type="dxa"/>
          </w:tcPr>
          <w:p w14:paraId="39B24A2E" w14:textId="77777777" w:rsidR="003A704E" w:rsidRPr="00551B34" w:rsidRDefault="003A704E" w:rsidP="00F7585E">
            <w:pPr>
              <w:spacing w:line="380" w:lineRule="exact"/>
              <w:ind w:left="132" w:hanging="120"/>
              <w:rPr>
                <w:rFonts w:ascii="Arial" w:eastAsia="Arial Unicode MS" w:hAnsi="Arial" w:cs="Arial"/>
                <w:sz w:val="22"/>
                <w:szCs w:val="22"/>
              </w:rPr>
            </w:pPr>
          </w:p>
        </w:tc>
      </w:tr>
      <w:tr w:rsidR="0095164C" w:rsidRPr="00551B34" w14:paraId="05841252" w14:textId="77777777" w:rsidTr="0032019F">
        <w:trPr>
          <w:trHeight w:val="80"/>
        </w:trPr>
        <w:tc>
          <w:tcPr>
            <w:tcW w:w="6120" w:type="dxa"/>
          </w:tcPr>
          <w:p w14:paraId="046E99D2" w14:textId="77777777" w:rsidR="0095164C" w:rsidRPr="00551B34" w:rsidRDefault="0095164C" w:rsidP="0095164C">
            <w:pPr>
              <w:spacing w:line="380" w:lineRule="exact"/>
              <w:ind w:left="342" w:hanging="90"/>
              <w:rPr>
                <w:rFonts w:ascii="Arial" w:hAnsi="Arial" w:cs="Arial"/>
                <w:sz w:val="22"/>
                <w:szCs w:val="22"/>
              </w:rPr>
            </w:pPr>
            <w:r w:rsidRPr="00551B34">
              <w:rPr>
                <w:rFonts w:ascii="Arial" w:hAnsi="Arial" w:cs="Arial"/>
                <w:sz w:val="22"/>
                <w:szCs w:val="22"/>
              </w:rPr>
              <w:t>Distribution to unitholders</w:t>
            </w:r>
          </w:p>
        </w:tc>
        <w:tc>
          <w:tcPr>
            <w:tcW w:w="1530" w:type="dxa"/>
            <w:vAlign w:val="bottom"/>
          </w:tcPr>
          <w:p w14:paraId="220FB7C7" w14:textId="71FEEC9D" w:rsidR="0095164C" w:rsidRPr="00551B34" w:rsidRDefault="0095164C" w:rsidP="0095164C">
            <w:pPr>
              <w:tabs>
                <w:tab w:val="decimal" w:pos="1156"/>
              </w:tabs>
              <w:spacing w:line="380" w:lineRule="exact"/>
              <w:rPr>
                <w:rFonts w:ascii="Arial" w:hAnsi="Arial" w:cs="Arial"/>
                <w:sz w:val="22"/>
                <w:szCs w:val="22"/>
              </w:rPr>
            </w:pPr>
            <w:r w:rsidRPr="00551B34">
              <w:rPr>
                <w:rFonts w:ascii="Arial" w:hAnsi="Arial" w:cs="Arial"/>
                <w:sz w:val="22"/>
                <w:szCs w:val="22"/>
              </w:rPr>
              <w:t>26,286</w:t>
            </w:r>
          </w:p>
        </w:tc>
        <w:tc>
          <w:tcPr>
            <w:tcW w:w="1440" w:type="dxa"/>
          </w:tcPr>
          <w:p w14:paraId="500A1763" w14:textId="12B94817" w:rsidR="0095164C" w:rsidRPr="00551B34" w:rsidRDefault="0095164C" w:rsidP="0095164C">
            <w:pPr>
              <w:tabs>
                <w:tab w:val="decimal" w:pos="1156"/>
              </w:tabs>
              <w:spacing w:line="380" w:lineRule="exact"/>
              <w:rPr>
                <w:rFonts w:ascii="Arial" w:hAnsi="Arial" w:cs="Arial"/>
                <w:sz w:val="22"/>
                <w:szCs w:val="22"/>
              </w:rPr>
            </w:pPr>
            <w:r w:rsidRPr="00551B34">
              <w:rPr>
                <w:rFonts w:ascii="Arial" w:hAnsi="Arial" w:cs="Arial"/>
                <w:sz w:val="22"/>
                <w:szCs w:val="22"/>
              </w:rPr>
              <w:t>23,797</w:t>
            </w:r>
          </w:p>
        </w:tc>
      </w:tr>
      <w:tr w:rsidR="0095164C" w:rsidRPr="00551B34" w14:paraId="27CDFE61" w14:textId="77777777" w:rsidTr="003A704E">
        <w:trPr>
          <w:trHeight w:val="288"/>
        </w:trPr>
        <w:tc>
          <w:tcPr>
            <w:tcW w:w="6120" w:type="dxa"/>
          </w:tcPr>
          <w:p w14:paraId="1F56B4A6" w14:textId="317B4792" w:rsidR="0095164C" w:rsidRPr="00551B34" w:rsidRDefault="0095164C" w:rsidP="0095164C">
            <w:pPr>
              <w:spacing w:line="380" w:lineRule="exact"/>
              <w:ind w:left="342" w:hanging="90"/>
              <w:rPr>
                <w:rFonts w:ascii="Arial" w:hAnsi="Arial" w:cs="Arial"/>
                <w:sz w:val="22"/>
                <w:szCs w:val="22"/>
              </w:rPr>
            </w:pPr>
            <w:r w:rsidRPr="00551B34">
              <w:rPr>
                <w:rFonts w:ascii="Arial" w:hAnsi="Arial" w:cs="Arial"/>
                <w:sz w:val="22"/>
                <w:szCs w:val="22"/>
              </w:rPr>
              <w:t>Service income</w:t>
            </w:r>
          </w:p>
        </w:tc>
        <w:tc>
          <w:tcPr>
            <w:tcW w:w="1530" w:type="dxa"/>
            <w:vAlign w:val="bottom"/>
          </w:tcPr>
          <w:p w14:paraId="5C5D07F7" w14:textId="5BC843B0" w:rsidR="0095164C" w:rsidRPr="00551B34" w:rsidRDefault="0095164C" w:rsidP="0095164C">
            <w:pPr>
              <w:tabs>
                <w:tab w:val="decimal" w:pos="1156"/>
              </w:tabs>
              <w:spacing w:line="380" w:lineRule="exact"/>
              <w:rPr>
                <w:rFonts w:ascii="Arial" w:hAnsi="Arial" w:cs="Arial"/>
                <w:sz w:val="22"/>
                <w:szCs w:val="22"/>
              </w:rPr>
            </w:pPr>
            <w:r w:rsidRPr="00551B34">
              <w:rPr>
                <w:rFonts w:ascii="Arial" w:hAnsi="Arial" w:cs="Arial"/>
                <w:sz w:val="22"/>
                <w:szCs w:val="22"/>
              </w:rPr>
              <w:t>831</w:t>
            </w:r>
          </w:p>
        </w:tc>
        <w:tc>
          <w:tcPr>
            <w:tcW w:w="1440" w:type="dxa"/>
            <w:vAlign w:val="bottom"/>
          </w:tcPr>
          <w:p w14:paraId="78076964" w14:textId="0B3255AB" w:rsidR="0095164C" w:rsidRPr="00551B34" w:rsidRDefault="0095164C" w:rsidP="0095164C">
            <w:pPr>
              <w:tabs>
                <w:tab w:val="decimal" w:pos="1156"/>
              </w:tabs>
              <w:spacing w:line="380" w:lineRule="exact"/>
              <w:rPr>
                <w:rFonts w:ascii="Arial" w:hAnsi="Arial" w:cs="Arial"/>
                <w:sz w:val="22"/>
                <w:szCs w:val="22"/>
              </w:rPr>
            </w:pPr>
            <w:r w:rsidRPr="00551B34">
              <w:rPr>
                <w:rFonts w:ascii="Arial" w:hAnsi="Arial" w:cs="Arial"/>
                <w:sz w:val="22"/>
                <w:szCs w:val="22"/>
              </w:rPr>
              <w:t>761</w:t>
            </w:r>
          </w:p>
        </w:tc>
      </w:tr>
      <w:tr w:rsidR="0095164C" w:rsidRPr="00551B34" w14:paraId="2E0136F2" w14:textId="77777777" w:rsidTr="003A704E">
        <w:trPr>
          <w:trHeight w:val="288"/>
        </w:trPr>
        <w:tc>
          <w:tcPr>
            <w:tcW w:w="6120" w:type="dxa"/>
          </w:tcPr>
          <w:p w14:paraId="25F0483C" w14:textId="77777777" w:rsidR="0095164C" w:rsidRPr="00551B34" w:rsidRDefault="0095164C" w:rsidP="0095164C">
            <w:pPr>
              <w:spacing w:line="380" w:lineRule="exact"/>
              <w:ind w:left="342" w:hanging="90"/>
              <w:rPr>
                <w:rFonts w:ascii="Arial" w:hAnsi="Arial" w:cs="Arial"/>
                <w:sz w:val="22"/>
                <w:szCs w:val="22"/>
              </w:rPr>
            </w:pPr>
            <w:r w:rsidRPr="00551B34">
              <w:rPr>
                <w:rFonts w:ascii="Arial" w:hAnsi="Arial" w:cs="Arial"/>
                <w:sz w:val="22"/>
                <w:szCs w:val="22"/>
              </w:rPr>
              <w:t>Expenses for common area</w:t>
            </w:r>
          </w:p>
        </w:tc>
        <w:tc>
          <w:tcPr>
            <w:tcW w:w="1530" w:type="dxa"/>
            <w:vAlign w:val="bottom"/>
          </w:tcPr>
          <w:p w14:paraId="0E0FDE12" w14:textId="2CD997AC" w:rsidR="0095164C" w:rsidRPr="00551B34" w:rsidRDefault="0095164C" w:rsidP="0095164C">
            <w:pPr>
              <w:tabs>
                <w:tab w:val="decimal" w:pos="1156"/>
              </w:tabs>
              <w:spacing w:line="380" w:lineRule="exact"/>
              <w:rPr>
                <w:rFonts w:ascii="Arial" w:hAnsi="Arial" w:cs="Arial"/>
                <w:sz w:val="22"/>
                <w:szCs w:val="22"/>
              </w:rPr>
            </w:pPr>
            <w:r w:rsidRPr="00551B34">
              <w:rPr>
                <w:rFonts w:ascii="Arial" w:hAnsi="Arial" w:cs="Arial"/>
                <w:sz w:val="22"/>
                <w:szCs w:val="22"/>
              </w:rPr>
              <w:t>153</w:t>
            </w:r>
          </w:p>
        </w:tc>
        <w:tc>
          <w:tcPr>
            <w:tcW w:w="1440" w:type="dxa"/>
            <w:vAlign w:val="bottom"/>
          </w:tcPr>
          <w:p w14:paraId="11C71BD4" w14:textId="04BC195F" w:rsidR="0095164C" w:rsidRPr="00551B34" w:rsidRDefault="0095164C" w:rsidP="0095164C">
            <w:pPr>
              <w:tabs>
                <w:tab w:val="decimal" w:pos="1156"/>
              </w:tabs>
              <w:spacing w:line="380" w:lineRule="exact"/>
              <w:rPr>
                <w:rFonts w:ascii="Arial" w:hAnsi="Arial" w:cs="Arial"/>
                <w:sz w:val="22"/>
                <w:szCs w:val="22"/>
              </w:rPr>
            </w:pPr>
            <w:r w:rsidRPr="00551B34">
              <w:rPr>
                <w:rFonts w:ascii="Arial" w:hAnsi="Arial" w:cs="Arial"/>
                <w:sz w:val="22"/>
                <w:szCs w:val="22"/>
              </w:rPr>
              <w:t>1,230</w:t>
            </w:r>
          </w:p>
        </w:tc>
      </w:tr>
      <w:tr w:rsidR="0095164C" w:rsidRPr="00551B34" w14:paraId="6716D449" w14:textId="77777777" w:rsidTr="003A704E">
        <w:trPr>
          <w:trHeight w:val="288"/>
        </w:trPr>
        <w:tc>
          <w:tcPr>
            <w:tcW w:w="6120" w:type="dxa"/>
          </w:tcPr>
          <w:p w14:paraId="52F85CCC" w14:textId="64970D1E" w:rsidR="0095164C" w:rsidRPr="00551B34" w:rsidRDefault="0095164C" w:rsidP="0095164C">
            <w:pPr>
              <w:spacing w:line="380" w:lineRule="exact"/>
              <w:rPr>
                <w:rFonts w:ascii="Arial" w:hAnsi="Arial" w:cs="Arial"/>
                <w:sz w:val="22"/>
                <w:szCs w:val="22"/>
              </w:rPr>
            </w:pPr>
            <w:proofErr w:type="spellStart"/>
            <w:r w:rsidRPr="00551B34">
              <w:rPr>
                <w:rFonts w:ascii="Arial" w:hAnsi="Arial" w:cs="Arial"/>
                <w:b/>
                <w:bCs/>
                <w:sz w:val="22"/>
                <w:szCs w:val="22"/>
              </w:rPr>
              <w:t>Bhiraj</w:t>
            </w:r>
            <w:proofErr w:type="spellEnd"/>
            <w:r w:rsidRPr="00551B34">
              <w:rPr>
                <w:rFonts w:ascii="Arial" w:hAnsi="Arial" w:cs="Arial"/>
                <w:b/>
                <w:bCs/>
                <w:sz w:val="22"/>
                <w:szCs w:val="22"/>
              </w:rPr>
              <w:t xml:space="preserve"> Buri Holding Company Limited</w:t>
            </w:r>
          </w:p>
        </w:tc>
        <w:tc>
          <w:tcPr>
            <w:tcW w:w="1530" w:type="dxa"/>
            <w:vAlign w:val="bottom"/>
          </w:tcPr>
          <w:p w14:paraId="1D0CE12B" w14:textId="77777777" w:rsidR="0095164C" w:rsidRPr="00551B34" w:rsidRDefault="0095164C" w:rsidP="0095164C">
            <w:pPr>
              <w:tabs>
                <w:tab w:val="decimal" w:pos="1156"/>
              </w:tabs>
              <w:spacing w:line="380" w:lineRule="exact"/>
              <w:rPr>
                <w:rFonts w:ascii="Arial" w:hAnsi="Arial" w:cs="Arial"/>
                <w:sz w:val="22"/>
                <w:szCs w:val="22"/>
              </w:rPr>
            </w:pPr>
          </w:p>
        </w:tc>
        <w:tc>
          <w:tcPr>
            <w:tcW w:w="1440" w:type="dxa"/>
            <w:vAlign w:val="bottom"/>
          </w:tcPr>
          <w:p w14:paraId="1226E70C" w14:textId="77777777" w:rsidR="0095164C" w:rsidRPr="00551B34" w:rsidRDefault="0095164C" w:rsidP="0095164C">
            <w:pPr>
              <w:tabs>
                <w:tab w:val="decimal" w:pos="1156"/>
              </w:tabs>
              <w:spacing w:line="380" w:lineRule="exact"/>
              <w:rPr>
                <w:rFonts w:ascii="Arial" w:hAnsi="Arial" w:cs="Arial"/>
                <w:sz w:val="22"/>
                <w:szCs w:val="22"/>
              </w:rPr>
            </w:pPr>
          </w:p>
        </w:tc>
      </w:tr>
      <w:tr w:rsidR="0095164C" w:rsidRPr="00551B34" w14:paraId="368EA652" w14:textId="77777777" w:rsidTr="0032019F">
        <w:trPr>
          <w:trHeight w:val="288"/>
        </w:trPr>
        <w:tc>
          <w:tcPr>
            <w:tcW w:w="6120" w:type="dxa"/>
          </w:tcPr>
          <w:p w14:paraId="212A751D" w14:textId="77777777" w:rsidR="0095164C" w:rsidRPr="00551B34" w:rsidRDefault="0095164C" w:rsidP="0095164C">
            <w:pPr>
              <w:spacing w:line="380" w:lineRule="exact"/>
              <w:ind w:left="342" w:hanging="90"/>
              <w:rPr>
                <w:rFonts w:ascii="Arial" w:hAnsi="Arial" w:cs="Arial"/>
                <w:sz w:val="22"/>
                <w:szCs w:val="22"/>
              </w:rPr>
            </w:pPr>
            <w:r w:rsidRPr="00551B34">
              <w:rPr>
                <w:rFonts w:ascii="Arial" w:hAnsi="Arial" w:cs="Arial"/>
                <w:sz w:val="22"/>
                <w:szCs w:val="22"/>
              </w:rPr>
              <w:t>Distribution to unitholders</w:t>
            </w:r>
          </w:p>
        </w:tc>
        <w:tc>
          <w:tcPr>
            <w:tcW w:w="1530" w:type="dxa"/>
          </w:tcPr>
          <w:p w14:paraId="74DBAB47" w14:textId="329C6811" w:rsidR="0095164C" w:rsidRPr="00551B34" w:rsidRDefault="0095164C" w:rsidP="0095164C">
            <w:pPr>
              <w:tabs>
                <w:tab w:val="decimal" w:pos="1156"/>
              </w:tabs>
              <w:spacing w:line="380" w:lineRule="exact"/>
              <w:rPr>
                <w:rFonts w:ascii="Arial" w:hAnsi="Arial" w:cs="Arial"/>
                <w:sz w:val="22"/>
                <w:szCs w:val="22"/>
              </w:rPr>
            </w:pPr>
            <w:r w:rsidRPr="00551B34">
              <w:rPr>
                <w:rFonts w:ascii="Arial" w:hAnsi="Arial" w:cs="Arial"/>
                <w:sz w:val="22"/>
                <w:szCs w:val="22"/>
              </w:rPr>
              <w:t>2,865</w:t>
            </w:r>
          </w:p>
        </w:tc>
        <w:tc>
          <w:tcPr>
            <w:tcW w:w="1440" w:type="dxa"/>
            <w:vAlign w:val="bottom"/>
          </w:tcPr>
          <w:p w14:paraId="2A46C984" w14:textId="32A837EB" w:rsidR="0095164C" w:rsidRPr="00551B34" w:rsidRDefault="0095164C" w:rsidP="0095164C">
            <w:pPr>
              <w:tabs>
                <w:tab w:val="decimal" w:pos="1156"/>
              </w:tabs>
              <w:spacing w:line="380" w:lineRule="exact"/>
              <w:rPr>
                <w:rFonts w:ascii="Arial" w:hAnsi="Arial" w:cs="Arial"/>
                <w:sz w:val="22"/>
                <w:szCs w:val="22"/>
              </w:rPr>
            </w:pPr>
            <w:r w:rsidRPr="00551B34">
              <w:rPr>
                <w:rFonts w:ascii="Arial" w:hAnsi="Arial" w:cs="Arial"/>
                <w:sz w:val="22"/>
                <w:szCs w:val="22"/>
              </w:rPr>
              <w:t>2,613</w:t>
            </w:r>
          </w:p>
        </w:tc>
      </w:tr>
      <w:tr w:rsidR="0095164C" w:rsidRPr="00551B34" w14:paraId="1544C0CD" w14:textId="77777777" w:rsidTr="00DA2F9F">
        <w:trPr>
          <w:trHeight w:val="288"/>
        </w:trPr>
        <w:tc>
          <w:tcPr>
            <w:tcW w:w="6120" w:type="dxa"/>
          </w:tcPr>
          <w:p w14:paraId="2F58F23E" w14:textId="73804C46" w:rsidR="0095164C" w:rsidRPr="00551B34" w:rsidRDefault="0095164C" w:rsidP="0095164C">
            <w:pPr>
              <w:spacing w:line="380" w:lineRule="exact"/>
              <w:ind w:left="255" w:hanging="255"/>
              <w:rPr>
                <w:rFonts w:ascii="Arial" w:hAnsi="Arial" w:cs="Arial"/>
                <w:sz w:val="22"/>
                <w:szCs w:val="22"/>
                <w:highlight w:val="yellow"/>
              </w:rPr>
            </w:pPr>
            <w:proofErr w:type="spellStart"/>
            <w:r w:rsidRPr="00551B34">
              <w:rPr>
                <w:rFonts w:ascii="Arial" w:hAnsi="Arial" w:cs="Arial"/>
                <w:b/>
                <w:bCs/>
                <w:sz w:val="22"/>
                <w:szCs w:val="22"/>
              </w:rPr>
              <w:t>Pharindhorn</w:t>
            </w:r>
            <w:proofErr w:type="spellEnd"/>
            <w:r w:rsidRPr="00551B34">
              <w:rPr>
                <w:rFonts w:ascii="Arial" w:hAnsi="Arial" w:cs="Arial"/>
                <w:b/>
                <w:bCs/>
                <w:sz w:val="22"/>
                <w:szCs w:val="22"/>
              </w:rPr>
              <w:t xml:space="preserve"> Company Limited</w:t>
            </w:r>
          </w:p>
        </w:tc>
        <w:tc>
          <w:tcPr>
            <w:tcW w:w="1530" w:type="dxa"/>
          </w:tcPr>
          <w:p w14:paraId="02520DC4" w14:textId="71BF6222" w:rsidR="0095164C" w:rsidRPr="00551B34" w:rsidRDefault="0095164C" w:rsidP="0095164C">
            <w:pPr>
              <w:tabs>
                <w:tab w:val="decimal" w:pos="1156"/>
              </w:tabs>
              <w:spacing w:line="380" w:lineRule="exact"/>
              <w:rPr>
                <w:rFonts w:ascii="Arial" w:hAnsi="Arial" w:cs="Arial"/>
                <w:sz w:val="22"/>
                <w:szCs w:val="22"/>
                <w:highlight w:val="yellow"/>
              </w:rPr>
            </w:pPr>
          </w:p>
        </w:tc>
        <w:tc>
          <w:tcPr>
            <w:tcW w:w="1440" w:type="dxa"/>
          </w:tcPr>
          <w:p w14:paraId="20E6D87E" w14:textId="69941A3C" w:rsidR="0095164C" w:rsidRPr="00551B34" w:rsidRDefault="0095164C" w:rsidP="0095164C">
            <w:pPr>
              <w:tabs>
                <w:tab w:val="decimal" w:pos="1156"/>
              </w:tabs>
              <w:spacing w:line="380" w:lineRule="exact"/>
              <w:rPr>
                <w:rFonts w:ascii="Arial" w:hAnsi="Arial" w:cs="Arial"/>
                <w:sz w:val="22"/>
                <w:szCs w:val="22"/>
                <w:highlight w:val="yellow"/>
              </w:rPr>
            </w:pPr>
          </w:p>
        </w:tc>
      </w:tr>
      <w:tr w:rsidR="002C202D" w:rsidRPr="00551B34" w14:paraId="43FE4BA6" w14:textId="77777777" w:rsidTr="00E01F57">
        <w:trPr>
          <w:trHeight w:val="288"/>
        </w:trPr>
        <w:tc>
          <w:tcPr>
            <w:tcW w:w="6120" w:type="dxa"/>
          </w:tcPr>
          <w:p w14:paraId="6B63FBBF" w14:textId="77777777" w:rsidR="002C202D" w:rsidRPr="00551B34" w:rsidRDefault="002C202D" w:rsidP="002C202D">
            <w:pPr>
              <w:spacing w:line="380" w:lineRule="exact"/>
              <w:ind w:left="342" w:hanging="90"/>
              <w:rPr>
                <w:rFonts w:ascii="Arial" w:hAnsi="Arial" w:cs="Arial"/>
                <w:sz w:val="22"/>
                <w:szCs w:val="22"/>
              </w:rPr>
            </w:pPr>
            <w:r w:rsidRPr="00551B34">
              <w:rPr>
                <w:rFonts w:ascii="Arial" w:hAnsi="Arial" w:cs="Arial"/>
                <w:sz w:val="22"/>
                <w:szCs w:val="22"/>
              </w:rPr>
              <w:t>Rental and service income</w:t>
            </w:r>
          </w:p>
        </w:tc>
        <w:tc>
          <w:tcPr>
            <w:tcW w:w="1530" w:type="dxa"/>
          </w:tcPr>
          <w:p w14:paraId="75BDAF57" w14:textId="7F6F5599" w:rsidR="002C202D" w:rsidRPr="00551B34" w:rsidRDefault="002C202D" w:rsidP="002C202D">
            <w:pPr>
              <w:tabs>
                <w:tab w:val="decimal" w:pos="1156"/>
              </w:tabs>
              <w:spacing w:line="380" w:lineRule="exact"/>
              <w:rPr>
                <w:rFonts w:ascii="Arial" w:hAnsi="Arial" w:cs="Arial"/>
                <w:sz w:val="22"/>
                <w:szCs w:val="22"/>
              </w:rPr>
            </w:pPr>
            <w:r w:rsidRPr="00551B34">
              <w:rPr>
                <w:rFonts w:ascii="Arial" w:hAnsi="Arial" w:cs="Arial"/>
                <w:sz w:val="22"/>
                <w:szCs w:val="22"/>
              </w:rPr>
              <w:t>1,147</w:t>
            </w:r>
          </w:p>
        </w:tc>
        <w:tc>
          <w:tcPr>
            <w:tcW w:w="1440" w:type="dxa"/>
            <w:vAlign w:val="bottom"/>
          </w:tcPr>
          <w:p w14:paraId="08FC9E9C" w14:textId="19E551A7" w:rsidR="002C202D" w:rsidRPr="00551B34" w:rsidRDefault="002C202D" w:rsidP="002C202D">
            <w:pPr>
              <w:tabs>
                <w:tab w:val="decimal" w:pos="1156"/>
              </w:tabs>
              <w:spacing w:line="380" w:lineRule="exact"/>
              <w:rPr>
                <w:rFonts w:ascii="Arial" w:hAnsi="Arial" w:cs="Arial"/>
                <w:sz w:val="22"/>
                <w:szCs w:val="22"/>
              </w:rPr>
            </w:pPr>
            <w:r w:rsidRPr="00551B34">
              <w:rPr>
                <w:rFonts w:ascii="Arial" w:hAnsi="Arial" w:cs="Arial"/>
                <w:sz w:val="22"/>
                <w:szCs w:val="22"/>
              </w:rPr>
              <w:t>1,038</w:t>
            </w:r>
          </w:p>
        </w:tc>
      </w:tr>
      <w:tr w:rsidR="002C202D" w:rsidRPr="00551B34" w14:paraId="2A3EBE4E" w14:textId="77777777" w:rsidTr="00E01F57">
        <w:trPr>
          <w:trHeight w:val="288"/>
        </w:trPr>
        <w:tc>
          <w:tcPr>
            <w:tcW w:w="6120" w:type="dxa"/>
          </w:tcPr>
          <w:p w14:paraId="7FBA82C8" w14:textId="77777777" w:rsidR="002C202D" w:rsidRPr="00551B34" w:rsidRDefault="002C202D" w:rsidP="002C202D">
            <w:pPr>
              <w:spacing w:line="380" w:lineRule="exact"/>
              <w:ind w:left="342" w:hanging="90"/>
              <w:rPr>
                <w:rFonts w:ascii="Arial" w:hAnsi="Arial" w:cs="Arial"/>
                <w:sz w:val="22"/>
                <w:szCs w:val="22"/>
              </w:rPr>
            </w:pPr>
            <w:r w:rsidRPr="00551B34">
              <w:rPr>
                <w:rFonts w:ascii="Arial" w:hAnsi="Arial" w:cs="Arial"/>
                <w:sz w:val="22"/>
                <w:szCs w:val="22"/>
              </w:rPr>
              <w:t>Cost of rental and service</w:t>
            </w:r>
          </w:p>
        </w:tc>
        <w:tc>
          <w:tcPr>
            <w:tcW w:w="1530" w:type="dxa"/>
          </w:tcPr>
          <w:p w14:paraId="313822C0" w14:textId="6D33BDFF" w:rsidR="002C202D" w:rsidRPr="00551B34" w:rsidRDefault="002C202D" w:rsidP="002C202D">
            <w:pPr>
              <w:tabs>
                <w:tab w:val="decimal" w:pos="1156"/>
              </w:tabs>
              <w:spacing w:line="380" w:lineRule="exact"/>
              <w:rPr>
                <w:rFonts w:ascii="Arial" w:hAnsi="Arial" w:cs="Arial"/>
                <w:sz w:val="22"/>
                <w:szCs w:val="22"/>
              </w:rPr>
            </w:pPr>
            <w:r w:rsidRPr="00551B34">
              <w:rPr>
                <w:rFonts w:ascii="Arial" w:hAnsi="Arial" w:cs="Arial"/>
                <w:sz w:val="22"/>
                <w:szCs w:val="22"/>
              </w:rPr>
              <w:t>9,339</w:t>
            </w:r>
          </w:p>
        </w:tc>
        <w:tc>
          <w:tcPr>
            <w:tcW w:w="1440" w:type="dxa"/>
            <w:vAlign w:val="bottom"/>
          </w:tcPr>
          <w:p w14:paraId="5199EF66" w14:textId="214B12FB" w:rsidR="002C202D" w:rsidRPr="00551B34" w:rsidRDefault="002C202D" w:rsidP="002C202D">
            <w:pPr>
              <w:tabs>
                <w:tab w:val="decimal" w:pos="1156"/>
              </w:tabs>
              <w:spacing w:line="380" w:lineRule="exact"/>
              <w:rPr>
                <w:rFonts w:ascii="Arial" w:hAnsi="Arial" w:cs="Arial"/>
                <w:sz w:val="22"/>
                <w:szCs w:val="22"/>
              </w:rPr>
            </w:pPr>
            <w:r w:rsidRPr="00551B34">
              <w:rPr>
                <w:rFonts w:ascii="Arial" w:hAnsi="Arial" w:cs="Arial"/>
                <w:sz w:val="22"/>
                <w:szCs w:val="22"/>
              </w:rPr>
              <w:t>10,100</w:t>
            </w:r>
          </w:p>
        </w:tc>
      </w:tr>
      <w:tr w:rsidR="002C202D" w:rsidRPr="00551B34" w14:paraId="000465C4" w14:textId="77777777" w:rsidTr="003A704E">
        <w:trPr>
          <w:trHeight w:val="288"/>
        </w:trPr>
        <w:tc>
          <w:tcPr>
            <w:tcW w:w="6120" w:type="dxa"/>
          </w:tcPr>
          <w:p w14:paraId="385107D5" w14:textId="7F23B45D" w:rsidR="002C202D" w:rsidRPr="00551B34" w:rsidRDefault="002C202D" w:rsidP="002C202D">
            <w:pPr>
              <w:spacing w:line="380" w:lineRule="exact"/>
              <w:ind w:left="255" w:hanging="255"/>
              <w:rPr>
                <w:rFonts w:ascii="Arial" w:hAnsi="Arial" w:cs="Arial"/>
                <w:sz w:val="22"/>
                <w:szCs w:val="22"/>
              </w:rPr>
            </w:pPr>
            <w:proofErr w:type="spellStart"/>
            <w:r w:rsidRPr="00551B34">
              <w:rPr>
                <w:rFonts w:ascii="Arial" w:hAnsi="Arial" w:cs="Arial"/>
                <w:b/>
                <w:bCs/>
                <w:sz w:val="22"/>
                <w:szCs w:val="22"/>
              </w:rPr>
              <w:t>Bhiraj</w:t>
            </w:r>
            <w:proofErr w:type="spellEnd"/>
            <w:r w:rsidRPr="00551B34">
              <w:rPr>
                <w:rFonts w:ascii="Arial" w:hAnsi="Arial" w:cs="Arial"/>
                <w:b/>
                <w:bCs/>
                <w:sz w:val="22"/>
                <w:szCs w:val="22"/>
              </w:rPr>
              <w:t xml:space="preserve"> REIT Management Company Limited</w:t>
            </w:r>
          </w:p>
        </w:tc>
        <w:tc>
          <w:tcPr>
            <w:tcW w:w="1530" w:type="dxa"/>
            <w:vAlign w:val="bottom"/>
          </w:tcPr>
          <w:p w14:paraId="17A641D6" w14:textId="77777777" w:rsidR="002C202D" w:rsidRPr="00551B34" w:rsidRDefault="002C202D" w:rsidP="002C202D">
            <w:pPr>
              <w:tabs>
                <w:tab w:val="decimal" w:pos="1156"/>
              </w:tabs>
              <w:spacing w:line="380" w:lineRule="exact"/>
              <w:rPr>
                <w:rFonts w:ascii="Arial" w:hAnsi="Arial" w:cs="Arial"/>
                <w:sz w:val="22"/>
                <w:szCs w:val="22"/>
              </w:rPr>
            </w:pPr>
          </w:p>
        </w:tc>
        <w:tc>
          <w:tcPr>
            <w:tcW w:w="1440" w:type="dxa"/>
          </w:tcPr>
          <w:p w14:paraId="60385ED8" w14:textId="77777777" w:rsidR="002C202D" w:rsidRPr="00551B34" w:rsidRDefault="002C202D" w:rsidP="002C202D">
            <w:pPr>
              <w:tabs>
                <w:tab w:val="decimal" w:pos="1156"/>
              </w:tabs>
              <w:spacing w:line="380" w:lineRule="exact"/>
              <w:rPr>
                <w:rFonts w:ascii="Arial" w:hAnsi="Arial" w:cs="Arial"/>
                <w:sz w:val="22"/>
                <w:szCs w:val="22"/>
              </w:rPr>
            </w:pPr>
          </w:p>
        </w:tc>
      </w:tr>
      <w:tr w:rsidR="00C20199" w:rsidRPr="00551B34" w14:paraId="0D5A95C3" w14:textId="77777777" w:rsidTr="001C4C58">
        <w:trPr>
          <w:trHeight w:val="288"/>
        </w:trPr>
        <w:tc>
          <w:tcPr>
            <w:tcW w:w="6120" w:type="dxa"/>
          </w:tcPr>
          <w:p w14:paraId="51C08D5C" w14:textId="77777777" w:rsidR="00C20199" w:rsidRPr="00551B34" w:rsidRDefault="00C20199" w:rsidP="00C20199">
            <w:pPr>
              <w:spacing w:line="380" w:lineRule="exact"/>
              <w:ind w:left="342" w:hanging="90"/>
              <w:rPr>
                <w:rFonts w:ascii="Arial" w:eastAsia="Arial Unicode MS" w:hAnsi="Arial" w:cs="Arial"/>
                <w:sz w:val="22"/>
                <w:szCs w:val="22"/>
              </w:rPr>
            </w:pPr>
            <w:r w:rsidRPr="00551B34">
              <w:rPr>
                <w:rFonts w:ascii="Arial" w:hAnsi="Arial" w:cs="Arial"/>
                <w:sz w:val="22"/>
                <w:szCs w:val="22"/>
              </w:rPr>
              <w:t>Trust management fee</w:t>
            </w:r>
          </w:p>
        </w:tc>
        <w:tc>
          <w:tcPr>
            <w:tcW w:w="1530" w:type="dxa"/>
            <w:vAlign w:val="bottom"/>
          </w:tcPr>
          <w:p w14:paraId="62FBE9D2" w14:textId="1781B9D7" w:rsidR="00C20199" w:rsidRPr="00551B34" w:rsidRDefault="00C20199" w:rsidP="00C20199">
            <w:pPr>
              <w:tabs>
                <w:tab w:val="decimal" w:pos="1156"/>
              </w:tabs>
              <w:spacing w:line="380" w:lineRule="exact"/>
              <w:rPr>
                <w:rFonts w:ascii="Arial" w:hAnsi="Arial" w:cs="Arial"/>
                <w:sz w:val="22"/>
                <w:szCs w:val="22"/>
              </w:rPr>
            </w:pPr>
            <w:r w:rsidRPr="00551B34">
              <w:rPr>
                <w:rFonts w:ascii="Arial" w:hAnsi="Arial" w:cs="Arial"/>
                <w:sz w:val="22"/>
                <w:szCs w:val="22"/>
              </w:rPr>
              <w:t>6,687</w:t>
            </w:r>
          </w:p>
        </w:tc>
        <w:tc>
          <w:tcPr>
            <w:tcW w:w="1440" w:type="dxa"/>
          </w:tcPr>
          <w:p w14:paraId="7546109A" w14:textId="3943378D" w:rsidR="00C20199" w:rsidRPr="00551B34" w:rsidRDefault="00C20199" w:rsidP="00C20199">
            <w:pPr>
              <w:tabs>
                <w:tab w:val="decimal" w:pos="1156"/>
              </w:tabs>
              <w:spacing w:line="380" w:lineRule="exact"/>
              <w:rPr>
                <w:rFonts w:ascii="Arial" w:hAnsi="Arial" w:cs="Arial"/>
                <w:sz w:val="22"/>
                <w:szCs w:val="22"/>
              </w:rPr>
            </w:pPr>
            <w:r w:rsidRPr="00551B34">
              <w:rPr>
                <w:rFonts w:ascii="Arial" w:hAnsi="Arial" w:cs="Arial"/>
                <w:sz w:val="22"/>
                <w:szCs w:val="22"/>
              </w:rPr>
              <w:t>6,722</w:t>
            </w:r>
          </w:p>
        </w:tc>
      </w:tr>
      <w:tr w:rsidR="0007125A" w:rsidRPr="00551B34" w14:paraId="23CE6BCA" w14:textId="77777777" w:rsidTr="001C4C58">
        <w:trPr>
          <w:trHeight w:val="288"/>
        </w:trPr>
        <w:tc>
          <w:tcPr>
            <w:tcW w:w="6120" w:type="dxa"/>
          </w:tcPr>
          <w:p w14:paraId="6131789E" w14:textId="77777777" w:rsidR="0007125A" w:rsidRPr="00551B34" w:rsidRDefault="0007125A" w:rsidP="00C20199">
            <w:pPr>
              <w:spacing w:line="380" w:lineRule="exact"/>
              <w:ind w:left="342" w:hanging="90"/>
              <w:rPr>
                <w:rFonts w:ascii="Arial" w:hAnsi="Arial" w:cs="Arial"/>
                <w:sz w:val="22"/>
                <w:szCs w:val="22"/>
              </w:rPr>
            </w:pPr>
          </w:p>
        </w:tc>
        <w:tc>
          <w:tcPr>
            <w:tcW w:w="1530" w:type="dxa"/>
            <w:vAlign w:val="bottom"/>
          </w:tcPr>
          <w:p w14:paraId="41ED40CE" w14:textId="77777777" w:rsidR="0007125A" w:rsidRPr="00551B34" w:rsidRDefault="0007125A" w:rsidP="00C20199">
            <w:pPr>
              <w:tabs>
                <w:tab w:val="decimal" w:pos="1156"/>
              </w:tabs>
              <w:spacing w:line="380" w:lineRule="exact"/>
              <w:rPr>
                <w:rFonts w:ascii="Arial" w:hAnsi="Arial" w:cs="Arial"/>
                <w:sz w:val="22"/>
                <w:szCs w:val="22"/>
              </w:rPr>
            </w:pPr>
          </w:p>
        </w:tc>
        <w:tc>
          <w:tcPr>
            <w:tcW w:w="1440" w:type="dxa"/>
          </w:tcPr>
          <w:p w14:paraId="45DBFEE5" w14:textId="77777777" w:rsidR="0007125A" w:rsidRPr="00551B34" w:rsidRDefault="0007125A" w:rsidP="00C20199">
            <w:pPr>
              <w:tabs>
                <w:tab w:val="decimal" w:pos="1156"/>
              </w:tabs>
              <w:spacing w:line="380" w:lineRule="exact"/>
              <w:rPr>
                <w:rFonts w:ascii="Arial" w:hAnsi="Arial" w:cs="Arial"/>
                <w:sz w:val="22"/>
                <w:szCs w:val="22"/>
              </w:rPr>
            </w:pPr>
          </w:p>
        </w:tc>
      </w:tr>
      <w:tr w:rsidR="00C20199" w:rsidRPr="00551B34" w14:paraId="78EA2F6F" w14:textId="77777777" w:rsidTr="001C4C58">
        <w:trPr>
          <w:trHeight w:val="288"/>
        </w:trPr>
        <w:tc>
          <w:tcPr>
            <w:tcW w:w="6120" w:type="dxa"/>
          </w:tcPr>
          <w:p w14:paraId="4DF60465" w14:textId="168C1540" w:rsidR="00C20199" w:rsidRPr="00551B34" w:rsidRDefault="00C20199" w:rsidP="00C20199">
            <w:pPr>
              <w:spacing w:line="380" w:lineRule="exact"/>
              <w:ind w:left="255" w:hanging="255"/>
              <w:rPr>
                <w:rFonts w:ascii="Arial" w:hAnsi="Arial" w:cs="Arial"/>
                <w:sz w:val="22"/>
                <w:szCs w:val="22"/>
              </w:rPr>
            </w:pPr>
            <w:proofErr w:type="spellStart"/>
            <w:r w:rsidRPr="00551B34">
              <w:rPr>
                <w:rFonts w:ascii="Arial" w:hAnsi="Arial" w:cs="Arial"/>
                <w:b/>
                <w:bCs/>
                <w:spacing w:val="-4"/>
                <w:sz w:val="22"/>
                <w:szCs w:val="22"/>
              </w:rPr>
              <w:lastRenderedPageBreak/>
              <w:t>Bhiraj</w:t>
            </w:r>
            <w:proofErr w:type="spellEnd"/>
            <w:r w:rsidRPr="00551B34">
              <w:rPr>
                <w:rFonts w:ascii="Arial" w:hAnsi="Arial" w:cs="Arial"/>
                <w:b/>
                <w:bCs/>
                <w:spacing w:val="-4"/>
                <w:sz w:val="22"/>
                <w:szCs w:val="22"/>
              </w:rPr>
              <w:t xml:space="preserve"> </w:t>
            </w:r>
            <w:r w:rsidRPr="00551B34">
              <w:rPr>
                <w:rFonts w:ascii="Arial" w:hAnsi="Arial" w:cs="Arial"/>
                <w:b/>
                <w:bCs/>
                <w:sz w:val="22"/>
                <w:szCs w:val="22"/>
              </w:rPr>
              <w:t>Management</w:t>
            </w:r>
            <w:r w:rsidRPr="00551B34">
              <w:rPr>
                <w:rFonts w:ascii="Arial" w:hAnsi="Arial" w:cs="Arial"/>
                <w:b/>
                <w:bCs/>
                <w:spacing w:val="-4"/>
                <w:sz w:val="22"/>
                <w:szCs w:val="22"/>
              </w:rPr>
              <w:t xml:space="preserve"> Company Limited</w:t>
            </w:r>
          </w:p>
        </w:tc>
        <w:tc>
          <w:tcPr>
            <w:tcW w:w="1530" w:type="dxa"/>
            <w:vAlign w:val="bottom"/>
          </w:tcPr>
          <w:p w14:paraId="721376E6" w14:textId="77777777" w:rsidR="00C20199" w:rsidRPr="00551B34" w:rsidRDefault="00C20199" w:rsidP="00C20199">
            <w:pPr>
              <w:tabs>
                <w:tab w:val="decimal" w:pos="1156"/>
              </w:tabs>
              <w:spacing w:line="380" w:lineRule="exact"/>
              <w:rPr>
                <w:rFonts w:ascii="Arial" w:hAnsi="Arial" w:cs="Arial"/>
                <w:sz w:val="22"/>
                <w:szCs w:val="22"/>
              </w:rPr>
            </w:pPr>
          </w:p>
        </w:tc>
        <w:tc>
          <w:tcPr>
            <w:tcW w:w="1440" w:type="dxa"/>
          </w:tcPr>
          <w:p w14:paraId="6FC53815" w14:textId="77777777" w:rsidR="00C20199" w:rsidRPr="00551B34" w:rsidRDefault="00C20199" w:rsidP="00C20199">
            <w:pPr>
              <w:tabs>
                <w:tab w:val="decimal" w:pos="1156"/>
              </w:tabs>
              <w:spacing w:line="380" w:lineRule="exact"/>
              <w:rPr>
                <w:rFonts w:ascii="Arial" w:hAnsi="Arial" w:cs="Arial"/>
                <w:sz w:val="22"/>
                <w:szCs w:val="22"/>
              </w:rPr>
            </w:pPr>
          </w:p>
        </w:tc>
      </w:tr>
      <w:tr w:rsidR="00C20199" w:rsidRPr="00551B34" w14:paraId="0124C504" w14:textId="77777777" w:rsidTr="001C4C58">
        <w:trPr>
          <w:trHeight w:val="288"/>
        </w:trPr>
        <w:tc>
          <w:tcPr>
            <w:tcW w:w="6120" w:type="dxa"/>
          </w:tcPr>
          <w:p w14:paraId="7292BBBF" w14:textId="77777777" w:rsidR="00C20199" w:rsidRPr="00551B34" w:rsidRDefault="00C20199" w:rsidP="00C20199">
            <w:pPr>
              <w:shd w:val="clear" w:color="auto" w:fill="FFFFFF"/>
              <w:spacing w:line="380" w:lineRule="exact"/>
              <w:ind w:left="432" w:right="-108" w:hanging="180"/>
              <w:rPr>
                <w:rFonts w:ascii="Arial" w:eastAsia="Arial Unicode MS" w:hAnsi="Arial" w:cs="Arial"/>
                <w:sz w:val="22"/>
                <w:szCs w:val="22"/>
              </w:rPr>
            </w:pPr>
            <w:r w:rsidRPr="00551B34">
              <w:rPr>
                <w:rFonts w:ascii="Arial" w:hAnsi="Arial" w:cs="Arial"/>
                <w:sz w:val="22"/>
                <w:szCs w:val="22"/>
              </w:rPr>
              <w:t>Property management fee</w:t>
            </w:r>
          </w:p>
        </w:tc>
        <w:tc>
          <w:tcPr>
            <w:tcW w:w="1530" w:type="dxa"/>
            <w:vAlign w:val="bottom"/>
          </w:tcPr>
          <w:p w14:paraId="02398347" w14:textId="66C32E5E" w:rsidR="00C20199" w:rsidRPr="00551B34" w:rsidRDefault="00C20199" w:rsidP="00C20199">
            <w:pPr>
              <w:tabs>
                <w:tab w:val="decimal" w:pos="1156"/>
              </w:tabs>
              <w:spacing w:line="380" w:lineRule="exact"/>
              <w:rPr>
                <w:rFonts w:ascii="Arial" w:hAnsi="Arial" w:cs="Arial"/>
                <w:sz w:val="22"/>
                <w:szCs w:val="22"/>
              </w:rPr>
            </w:pPr>
            <w:r w:rsidRPr="00551B34">
              <w:rPr>
                <w:rFonts w:ascii="Arial" w:hAnsi="Arial" w:cs="Arial"/>
                <w:sz w:val="22"/>
                <w:szCs w:val="22"/>
              </w:rPr>
              <w:t>15,420</w:t>
            </w:r>
          </w:p>
        </w:tc>
        <w:tc>
          <w:tcPr>
            <w:tcW w:w="1440" w:type="dxa"/>
          </w:tcPr>
          <w:p w14:paraId="736DFC0D" w14:textId="21849485" w:rsidR="00C20199" w:rsidRPr="00551B34" w:rsidRDefault="00C20199" w:rsidP="00C20199">
            <w:pPr>
              <w:tabs>
                <w:tab w:val="decimal" w:pos="1156"/>
              </w:tabs>
              <w:spacing w:line="380" w:lineRule="exact"/>
              <w:rPr>
                <w:rFonts w:ascii="Arial" w:hAnsi="Arial" w:cs="Arial"/>
                <w:sz w:val="22"/>
                <w:szCs w:val="22"/>
              </w:rPr>
            </w:pPr>
            <w:r w:rsidRPr="00551B34">
              <w:rPr>
                <w:rFonts w:ascii="Arial" w:hAnsi="Arial" w:cs="Arial"/>
                <w:sz w:val="22"/>
                <w:szCs w:val="22"/>
              </w:rPr>
              <w:t>15,785</w:t>
            </w:r>
          </w:p>
        </w:tc>
      </w:tr>
      <w:tr w:rsidR="00C20199" w:rsidRPr="00551B34" w14:paraId="79033961" w14:textId="77777777" w:rsidTr="001C4C58">
        <w:trPr>
          <w:trHeight w:val="288"/>
        </w:trPr>
        <w:tc>
          <w:tcPr>
            <w:tcW w:w="6120" w:type="dxa"/>
          </w:tcPr>
          <w:p w14:paraId="3797A7F5" w14:textId="6207A044" w:rsidR="00C20199" w:rsidRPr="00551B34" w:rsidRDefault="00C20199" w:rsidP="00C20199">
            <w:pPr>
              <w:spacing w:line="380" w:lineRule="exact"/>
              <w:ind w:left="255" w:hanging="255"/>
              <w:rPr>
                <w:rFonts w:ascii="Arial" w:hAnsi="Arial" w:cs="Arial"/>
                <w:sz w:val="22"/>
                <w:szCs w:val="22"/>
              </w:rPr>
            </w:pPr>
            <w:proofErr w:type="spellStart"/>
            <w:r w:rsidRPr="00551B34">
              <w:rPr>
                <w:rFonts w:ascii="Arial" w:hAnsi="Arial" w:cs="Arial"/>
                <w:b/>
                <w:bCs/>
                <w:sz w:val="22"/>
                <w:szCs w:val="22"/>
              </w:rPr>
              <w:t>Kasikorn</w:t>
            </w:r>
            <w:proofErr w:type="spellEnd"/>
            <w:r w:rsidRPr="00551B34">
              <w:rPr>
                <w:rFonts w:ascii="Arial" w:hAnsi="Arial" w:cs="Arial"/>
                <w:b/>
                <w:bCs/>
                <w:sz w:val="22"/>
                <w:szCs w:val="22"/>
              </w:rPr>
              <w:t xml:space="preserve"> Asset Management </w:t>
            </w:r>
            <w:r w:rsidRPr="00551B34">
              <w:rPr>
                <w:rFonts w:ascii="Arial" w:hAnsi="Arial" w:cs="Arial"/>
                <w:b/>
                <w:bCs/>
                <w:spacing w:val="-4"/>
                <w:sz w:val="22"/>
                <w:szCs w:val="22"/>
              </w:rPr>
              <w:t>Company Limited</w:t>
            </w:r>
          </w:p>
        </w:tc>
        <w:tc>
          <w:tcPr>
            <w:tcW w:w="1530" w:type="dxa"/>
            <w:vAlign w:val="bottom"/>
          </w:tcPr>
          <w:p w14:paraId="50132524" w14:textId="77777777" w:rsidR="00C20199" w:rsidRPr="00551B34" w:rsidRDefault="00C20199" w:rsidP="00C20199">
            <w:pPr>
              <w:tabs>
                <w:tab w:val="decimal" w:pos="1156"/>
              </w:tabs>
              <w:spacing w:line="380" w:lineRule="exact"/>
              <w:rPr>
                <w:rFonts w:ascii="Arial" w:hAnsi="Arial" w:cs="Arial"/>
                <w:sz w:val="22"/>
                <w:szCs w:val="22"/>
              </w:rPr>
            </w:pPr>
          </w:p>
        </w:tc>
        <w:tc>
          <w:tcPr>
            <w:tcW w:w="1440" w:type="dxa"/>
          </w:tcPr>
          <w:p w14:paraId="0984A654" w14:textId="77777777" w:rsidR="00C20199" w:rsidRPr="00551B34" w:rsidRDefault="00C20199" w:rsidP="00C20199">
            <w:pPr>
              <w:tabs>
                <w:tab w:val="decimal" w:pos="1156"/>
              </w:tabs>
              <w:spacing w:line="380" w:lineRule="exact"/>
              <w:rPr>
                <w:rFonts w:ascii="Arial" w:hAnsi="Arial" w:cs="Arial"/>
                <w:sz w:val="22"/>
                <w:szCs w:val="22"/>
              </w:rPr>
            </w:pPr>
          </w:p>
        </w:tc>
      </w:tr>
      <w:tr w:rsidR="00C20199" w:rsidRPr="00551B34" w14:paraId="075AA1DA" w14:textId="77777777" w:rsidTr="001C4C58">
        <w:trPr>
          <w:trHeight w:val="288"/>
        </w:trPr>
        <w:tc>
          <w:tcPr>
            <w:tcW w:w="6120" w:type="dxa"/>
          </w:tcPr>
          <w:p w14:paraId="5DB9498B" w14:textId="77777777" w:rsidR="00C20199" w:rsidRPr="00551B34" w:rsidRDefault="00C20199" w:rsidP="00C20199">
            <w:pPr>
              <w:shd w:val="clear" w:color="auto" w:fill="FFFFFF"/>
              <w:spacing w:line="380" w:lineRule="exact"/>
              <w:ind w:left="342" w:right="-108" w:hanging="90"/>
              <w:rPr>
                <w:rFonts w:ascii="Arial" w:eastAsia="Arial Unicode MS" w:hAnsi="Arial" w:cs="Arial"/>
                <w:sz w:val="22"/>
                <w:szCs w:val="22"/>
              </w:rPr>
            </w:pPr>
            <w:r w:rsidRPr="00551B34">
              <w:rPr>
                <w:rFonts w:ascii="Arial" w:hAnsi="Arial" w:cs="Arial"/>
                <w:sz w:val="22"/>
                <w:szCs w:val="22"/>
              </w:rPr>
              <w:t>Trustee and custodian fee</w:t>
            </w:r>
          </w:p>
        </w:tc>
        <w:tc>
          <w:tcPr>
            <w:tcW w:w="1530" w:type="dxa"/>
            <w:vAlign w:val="bottom"/>
          </w:tcPr>
          <w:p w14:paraId="284752F5" w14:textId="68D6AE01" w:rsidR="00C20199" w:rsidRPr="00551B34" w:rsidRDefault="00C20199" w:rsidP="00C20199">
            <w:pPr>
              <w:tabs>
                <w:tab w:val="decimal" w:pos="1156"/>
              </w:tabs>
              <w:spacing w:line="380" w:lineRule="exact"/>
              <w:rPr>
                <w:rFonts w:ascii="Arial" w:hAnsi="Arial" w:cs="Arial"/>
                <w:sz w:val="22"/>
                <w:szCs w:val="22"/>
              </w:rPr>
            </w:pPr>
            <w:r w:rsidRPr="00551B34">
              <w:rPr>
                <w:rFonts w:ascii="Arial" w:hAnsi="Arial" w:cs="Arial"/>
                <w:sz w:val="22"/>
                <w:szCs w:val="22"/>
              </w:rPr>
              <w:t>2,713</w:t>
            </w:r>
          </w:p>
        </w:tc>
        <w:tc>
          <w:tcPr>
            <w:tcW w:w="1440" w:type="dxa"/>
          </w:tcPr>
          <w:p w14:paraId="53464556" w14:textId="6C02F185" w:rsidR="00C20199" w:rsidRPr="00551B34" w:rsidRDefault="00C20199" w:rsidP="00C20199">
            <w:pPr>
              <w:tabs>
                <w:tab w:val="decimal" w:pos="1156"/>
              </w:tabs>
              <w:spacing w:line="380" w:lineRule="exact"/>
              <w:rPr>
                <w:rFonts w:ascii="Arial" w:hAnsi="Arial" w:cs="Arial"/>
                <w:sz w:val="22"/>
                <w:szCs w:val="22"/>
              </w:rPr>
            </w:pPr>
            <w:r w:rsidRPr="00551B34">
              <w:rPr>
                <w:rFonts w:ascii="Arial" w:hAnsi="Arial" w:cs="Arial"/>
                <w:sz w:val="22"/>
                <w:szCs w:val="22"/>
              </w:rPr>
              <w:t>2,743</w:t>
            </w:r>
          </w:p>
        </w:tc>
      </w:tr>
      <w:tr w:rsidR="00C20199" w:rsidRPr="00551B34" w14:paraId="3D83BDE5" w14:textId="77777777" w:rsidTr="001C4C58">
        <w:trPr>
          <w:trHeight w:val="288"/>
        </w:trPr>
        <w:tc>
          <w:tcPr>
            <w:tcW w:w="6120" w:type="dxa"/>
          </w:tcPr>
          <w:p w14:paraId="062B03A5" w14:textId="448B1C62" w:rsidR="00C20199" w:rsidRPr="00551B34" w:rsidRDefault="00C20199" w:rsidP="00C20199">
            <w:pPr>
              <w:spacing w:line="380" w:lineRule="exact"/>
              <w:ind w:left="255" w:hanging="255"/>
              <w:rPr>
                <w:rFonts w:ascii="Arial" w:hAnsi="Arial" w:cs="Arial"/>
                <w:sz w:val="22"/>
                <w:szCs w:val="22"/>
              </w:rPr>
            </w:pPr>
            <w:proofErr w:type="spellStart"/>
            <w:r w:rsidRPr="00551B34">
              <w:rPr>
                <w:rFonts w:ascii="Arial" w:hAnsi="Arial" w:cs="Arial"/>
                <w:b/>
                <w:bCs/>
                <w:sz w:val="22"/>
                <w:szCs w:val="22"/>
              </w:rPr>
              <w:t>Kasikornbank</w:t>
            </w:r>
            <w:proofErr w:type="spellEnd"/>
            <w:r w:rsidRPr="00551B34">
              <w:rPr>
                <w:rFonts w:ascii="Arial" w:hAnsi="Arial" w:cs="Arial"/>
                <w:b/>
                <w:bCs/>
                <w:sz w:val="22"/>
                <w:szCs w:val="22"/>
              </w:rPr>
              <w:t xml:space="preserve"> Public </w:t>
            </w:r>
            <w:r w:rsidRPr="00551B34">
              <w:rPr>
                <w:rFonts w:ascii="Arial" w:hAnsi="Arial" w:cs="Arial"/>
                <w:b/>
                <w:bCs/>
                <w:spacing w:val="-4"/>
                <w:sz w:val="22"/>
                <w:szCs w:val="22"/>
              </w:rPr>
              <w:t>Company Limited</w:t>
            </w:r>
          </w:p>
        </w:tc>
        <w:tc>
          <w:tcPr>
            <w:tcW w:w="1530" w:type="dxa"/>
            <w:vAlign w:val="bottom"/>
          </w:tcPr>
          <w:p w14:paraId="3B37743C" w14:textId="77777777" w:rsidR="00C20199" w:rsidRPr="00551B34" w:rsidRDefault="00C20199" w:rsidP="00C20199">
            <w:pPr>
              <w:tabs>
                <w:tab w:val="decimal" w:pos="1156"/>
              </w:tabs>
              <w:spacing w:line="380" w:lineRule="exact"/>
              <w:rPr>
                <w:rFonts w:ascii="Arial" w:hAnsi="Arial" w:cs="Arial"/>
                <w:sz w:val="22"/>
                <w:szCs w:val="22"/>
              </w:rPr>
            </w:pPr>
          </w:p>
        </w:tc>
        <w:tc>
          <w:tcPr>
            <w:tcW w:w="1440" w:type="dxa"/>
          </w:tcPr>
          <w:p w14:paraId="5972EA7A" w14:textId="77777777" w:rsidR="00C20199" w:rsidRPr="00551B34" w:rsidRDefault="00C20199" w:rsidP="00C20199">
            <w:pPr>
              <w:tabs>
                <w:tab w:val="decimal" w:pos="1156"/>
              </w:tabs>
              <w:spacing w:line="380" w:lineRule="exact"/>
              <w:rPr>
                <w:rFonts w:ascii="Arial" w:hAnsi="Arial" w:cs="Arial"/>
                <w:sz w:val="22"/>
                <w:szCs w:val="22"/>
              </w:rPr>
            </w:pPr>
          </w:p>
        </w:tc>
      </w:tr>
      <w:tr w:rsidR="00C20199" w:rsidRPr="00551B34" w14:paraId="79809283" w14:textId="77777777" w:rsidTr="003A704E">
        <w:trPr>
          <w:trHeight w:val="288"/>
        </w:trPr>
        <w:tc>
          <w:tcPr>
            <w:tcW w:w="6120" w:type="dxa"/>
          </w:tcPr>
          <w:p w14:paraId="422B6C32" w14:textId="77777777" w:rsidR="00C20199" w:rsidRPr="00551B34" w:rsidRDefault="00C20199" w:rsidP="00C20199">
            <w:pPr>
              <w:shd w:val="clear" w:color="auto" w:fill="FFFFFF"/>
              <w:spacing w:line="380" w:lineRule="exact"/>
              <w:ind w:left="342" w:right="-108" w:hanging="90"/>
              <w:rPr>
                <w:rFonts w:ascii="Arial" w:hAnsi="Arial" w:cs="Arial"/>
                <w:sz w:val="22"/>
                <w:szCs w:val="22"/>
              </w:rPr>
            </w:pPr>
            <w:r w:rsidRPr="00551B34">
              <w:rPr>
                <w:rFonts w:ascii="Arial" w:hAnsi="Arial" w:cs="Arial"/>
                <w:sz w:val="22"/>
                <w:szCs w:val="22"/>
              </w:rPr>
              <w:t>Rental and service income</w:t>
            </w:r>
          </w:p>
        </w:tc>
        <w:tc>
          <w:tcPr>
            <w:tcW w:w="1530" w:type="dxa"/>
          </w:tcPr>
          <w:p w14:paraId="16E2864B" w14:textId="0EDE3EBF" w:rsidR="00C20199" w:rsidRPr="00551B34" w:rsidRDefault="00C20199" w:rsidP="00C20199">
            <w:pPr>
              <w:tabs>
                <w:tab w:val="decimal" w:pos="1156"/>
              </w:tabs>
              <w:spacing w:line="380" w:lineRule="exact"/>
              <w:rPr>
                <w:rFonts w:ascii="Arial" w:hAnsi="Arial" w:cs="Arial"/>
                <w:sz w:val="22"/>
                <w:szCs w:val="22"/>
              </w:rPr>
            </w:pPr>
            <w:r w:rsidRPr="00551B34">
              <w:rPr>
                <w:rFonts w:ascii="Arial" w:hAnsi="Arial" w:cs="Arial"/>
                <w:sz w:val="22"/>
                <w:szCs w:val="22"/>
              </w:rPr>
              <w:t>6,196</w:t>
            </w:r>
          </w:p>
        </w:tc>
        <w:tc>
          <w:tcPr>
            <w:tcW w:w="1440" w:type="dxa"/>
          </w:tcPr>
          <w:p w14:paraId="0B46B3B5" w14:textId="202F0B84" w:rsidR="00C20199" w:rsidRPr="00551B34" w:rsidRDefault="00C20199" w:rsidP="00C20199">
            <w:pPr>
              <w:tabs>
                <w:tab w:val="decimal" w:pos="1156"/>
              </w:tabs>
              <w:spacing w:line="380" w:lineRule="exact"/>
              <w:rPr>
                <w:rFonts w:ascii="Arial" w:hAnsi="Arial" w:cs="Arial"/>
                <w:sz w:val="22"/>
                <w:szCs w:val="22"/>
              </w:rPr>
            </w:pPr>
            <w:r w:rsidRPr="00551B34">
              <w:rPr>
                <w:rFonts w:ascii="Arial" w:hAnsi="Arial" w:cs="Arial"/>
                <w:sz w:val="22"/>
                <w:szCs w:val="22"/>
              </w:rPr>
              <w:t>5,748</w:t>
            </w:r>
          </w:p>
        </w:tc>
      </w:tr>
      <w:tr w:rsidR="00C20199" w:rsidRPr="00551B34" w14:paraId="285B6C0D" w14:textId="77777777" w:rsidTr="003A704E">
        <w:trPr>
          <w:trHeight w:val="288"/>
        </w:trPr>
        <w:tc>
          <w:tcPr>
            <w:tcW w:w="6120" w:type="dxa"/>
          </w:tcPr>
          <w:p w14:paraId="548195FD" w14:textId="77777777" w:rsidR="00C20199" w:rsidRPr="00551B34" w:rsidRDefault="00C20199" w:rsidP="00C20199">
            <w:pPr>
              <w:shd w:val="clear" w:color="auto" w:fill="FFFFFF"/>
              <w:spacing w:line="380" w:lineRule="exact"/>
              <w:ind w:left="342" w:right="-108" w:hanging="90"/>
              <w:rPr>
                <w:rFonts w:ascii="Arial" w:hAnsi="Arial" w:cs="Arial"/>
                <w:sz w:val="22"/>
                <w:szCs w:val="22"/>
              </w:rPr>
            </w:pPr>
            <w:r w:rsidRPr="00551B34">
              <w:rPr>
                <w:rFonts w:ascii="Arial" w:hAnsi="Arial" w:cs="Arial"/>
                <w:sz w:val="22"/>
                <w:szCs w:val="22"/>
              </w:rPr>
              <w:t>Interest income</w:t>
            </w:r>
          </w:p>
        </w:tc>
        <w:tc>
          <w:tcPr>
            <w:tcW w:w="1530" w:type="dxa"/>
          </w:tcPr>
          <w:p w14:paraId="0A63E20E" w14:textId="7F19EBD1" w:rsidR="00C20199" w:rsidRPr="00551B34" w:rsidRDefault="00C20199" w:rsidP="00C20199">
            <w:pPr>
              <w:tabs>
                <w:tab w:val="decimal" w:pos="1156"/>
              </w:tabs>
              <w:spacing w:line="380" w:lineRule="exact"/>
              <w:rPr>
                <w:rFonts w:ascii="Arial" w:hAnsi="Arial" w:cs="Arial"/>
                <w:sz w:val="22"/>
                <w:szCs w:val="22"/>
              </w:rPr>
            </w:pPr>
            <w:r w:rsidRPr="00551B34">
              <w:rPr>
                <w:rFonts w:ascii="Arial" w:hAnsi="Arial" w:cs="Arial"/>
                <w:sz w:val="22"/>
                <w:szCs w:val="22"/>
              </w:rPr>
              <w:t>244</w:t>
            </w:r>
          </w:p>
        </w:tc>
        <w:tc>
          <w:tcPr>
            <w:tcW w:w="1440" w:type="dxa"/>
          </w:tcPr>
          <w:p w14:paraId="34E3F014" w14:textId="01D80A7C" w:rsidR="00C20199" w:rsidRPr="00551B34" w:rsidRDefault="00C20199" w:rsidP="00C20199">
            <w:pPr>
              <w:tabs>
                <w:tab w:val="decimal" w:pos="1156"/>
              </w:tabs>
              <w:spacing w:line="380" w:lineRule="exact"/>
              <w:rPr>
                <w:rFonts w:ascii="Arial" w:hAnsi="Arial" w:cs="Arial"/>
                <w:sz w:val="22"/>
                <w:szCs w:val="22"/>
              </w:rPr>
            </w:pPr>
            <w:r w:rsidRPr="00551B34">
              <w:rPr>
                <w:rFonts w:ascii="Arial" w:hAnsi="Arial" w:cs="Arial"/>
                <w:sz w:val="22"/>
                <w:szCs w:val="22"/>
              </w:rPr>
              <w:t>197</w:t>
            </w:r>
          </w:p>
        </w:tc>
      </w:tr>
      <w:tr w:rsidR="00C20199" w:rsidRPr="00551B34" w14:paraId="198F5075" w14:textId="77777777" w:rsidTr="003A704E">
        <w:trPr>
          <w:trHeight w:val="288"/>
        </w:trPr>
        <w:tc>
          <w:tcPr>
            <w:tcW w:w="6120" w:type="dxa"/>
          </w:tcPr>
          <w:p w14:paraId="564D062A" w14:textId="77777777" w:rsidR="00C20199" w:rsidRPr="00551B34" w:rsidRDefault="00C20199" w:rsidP="00C20199">
            <w:pPr>
              <w:shd w:val="clear" w:color="auto" w:fill="FFFFFF"/>
              <w:spacing w:line="380" w:lineRule="exact"/>
              <w:ind w:left="342" w:right="-108" w:hanging="90"/>
              <w:rPr>
                <w:rFonts w:ascii="Arial" w:hAnsi="Arial" w:cs="Arial"/>
                <w:sz w:val="22"/>
                <w:szCs w:val="22"/>
              </w:rPr>
            </w:pPr>
            <w:r w:rsidRPr="00551B34">
              <w:rPr>
                <w:rFonts w:ascii="Arial" w:hAnsi="Arial" w:cs="Arial"/>
                <w:sz w:val="22"/>
                <w:szCs w:val="22"/>
              </w:rPr>
              <w:t>Interest expenses</w:t>
            </w:r>
          </w:p>
        </w:tc>
        <w:tc>
          <w:tcPr>
            <w:tcW w:w="1530" w:type="dxa"/>
          </w:tcPr>
          <w:p w14:paraId="63F2521F" w14:textId="2078A73D" w:rsidR="00C20199" w:rsidRPr="00551B34" w:rsidRDefault="00C20199" w:rsidP="00C20199">
            <w:pPr>
              <w:tabs>
                <w:tab w:val="decimal" w:pos="1156"/>
              </w:tabs>
              <w:spacing w:line="380" w:lineRule="exact"/>
              <w:rPr>
                <w:rFonts w:ascii="Arial" w:hAnsi="Arial" w:cs="Arial"/>
                <w:sz w:val="22"/>
                <w:szCs w:val="22"/>
              </w:rPr>
            </w:pPr>
            <w:r w:rsidRPr="00551B34">
              <w:rPr>
                <w:rFonts w:ascii="Arial" w:hAnsi="Arial" w:cs="Arial"/>
                <w:sz w:val="22"/>
                <w:szCs w:val="22"/>
              </w:rPr>
              <w:t>23,154</w:t>
            </w:r>
          </w:p>
        </w:tc>
        <w:tc>
          <w:tcPr>
            <w:tcW w:w="1440" w:type="dxa"/>
          </w:tcPr>
          <w:p w14:paraId="6245596F" w14:textId="01415318" w:rsidR="00C20199" w:rsidRPr="00551B34" w:rsidRDefault="00C20199" w:rsidP="00C20199">
            <w:pPr>
              <w:tabs>
                <w:tab w:val="decimal" w:pos="1156"/>
              </w:tabs>
              <w:spacing w:line="380" w:lineRule="exact"/>
              <w:rPr>
                <w:rFonts w:ascii="Arial" w:hAnsi="Arial" w:cs="Arial"/>
                <w:sz w:val="22"/>
                <w:szCs w:val="22"/>
              </w:rPr>
            </w:pPr>
            <w:r w:rsidRPr="00551B34">
              <w:rPr>
                <w:rFonts w:ascii="Arial" w:hAnsi="Arial" w:cs="Arial"/>
                <w:sz w:val="22"/>
                <w:szCs w:val="22"/>
              </w:rPr>
              <w:t>26,041</w:t>
            </w:r>
          </w:p>
        </w:tc>
      </w:tr>
    </w:tbl>
    <w:p w14:paraId="2889260E" w14:textId="63579698" w:rsidR="00A71C27" w:rsidRPr="00551B34" w:rsidRDefault="00F44230" w:rsidP="00F7585E">
      <w:pPr>
        <w:pStyle w:val="ListParagraph"/>
        <w:numPr>
          <w:ilvl w:val="0"/>
          <w:numId w:val="5"/>
        </w:numPr>
        <w:tabs>
          <w:tab w:val="left" w:pos="540"/>
        </w:tabs>
        <w:spacing w:before="240" w:after="120" w:line="380" w:lineRule="exact"/>
        <w:ind w:left="547" w:hanging="547"/>
        <w:rPr>
          <w:rFonts w:ascii="Arial" w:hAnsi="Arial" w:cs="Arial"/>
          <w:b/>
          <w:bCs/>
          <w:sz w:val="22"/>
          <w:szCs w:val="22"/>
        </w:rPr>
      </w:pPr>
      <w:r w:rsidRPr="00551B34">
        <w:rPr>
          <w:rFonts w:ascii="Arial" w:hAnsi="Arial" w:cs="Arial"/>
          <w:b/>
          <w:bCs/>
          <w:sz w:val="22"/>
          <w:szCs w:val="22"/>
        </w:rPr>
        <w:t>Information on investment purchase and sales transactions</w:t>
      </w:r>
    </w:p>
    <w:p w14:paraId="4AA289D7" w14:textId="3133D74F" w:rsidR="00F44230" w:rsidRPr="00551B34" w:rsidRDefault="000E3B29" w:rsidP="00F7585E">
      <w:pPr>
        <w:tabs>
          <w:tab w:val="left" w:pos="2880"/>
          <w:tab w:val="left" w:pos="5760"/>
          <w:tab w:val="decimal" w:pos="6660"/>
          <w:tab w:val="left" w:pos="7110"/>
          <w:tab w:val="decimal" w:pos="7920"/>
        </w:tabs>
        <w:spacing w:before="120" w:after="120" w:line="380" w:lineRule="exact"/>
        <w:ind w:left="547" w:right="-43" w:hanging="547"/>
        <w:jc w:val="thaiDistribute"/>
        <w:rPr>
          <w:rFonts w:ascii="Arial" w:hAnsi="Arial" w:cs="Arial"/>
          <w:sz w:val="22"/>
          <w:szCs w:val="22"/>
        </w:rPr>
      </w:pPr>
      <w:r w:rsidRPr="00551B34">
        <w:rPr>
          <w:rFonts w:ascii="Arial" w:hAnsi="Arial" w:cs="Arial"/>
          <w:sz w:val="22"/>
          <w:szCs w:val="22"/>
        </w:rPr>
        <w:tab/>
      </w:r>
      <w:r w:rsidR="00EE3BDE" w:rsidRPr="00551B34">
        <w:rPr>
          <w:rFonts w:ascii="Arial" w:hAnsi="Arial" w:cs="Arial"/>
          <w:sz w:val="22"/>
          <w:szCs w:val="22"/>
        </w:rPr>
        <w:t xml:space="preserve">The Trust’s investment purchase and sales transactions during the </w:t>
      </w:r>
      <w:r w:rsidR="00DD3891" w:rsidRPr="00551B34">
        <w:rPr>
          <w:rFonts w:ascii="Arial" w:hAnsi="Arial" w:cs="Arial"/>
          <w:sz w:val="22"/>
          <w:szCs w:val="22"/>
        </w:rPr>
        <w:t>period</w:t>
      </w:r>
      <w:r w:rsidR="00EE3BDE" w:rsidRPr="00551B34">
        <w:rPr>
          <w:rFonts w:ascii="Arial" w:hAnsi="Arial" w:cs="Arial"/>
          <w:sz w:val="22"/>
          <w:szCs w:val="22"/>
        </w:rPr>
        <w:t xml:space="preserve">, excluding investments in cash at banks, amounted to Baht </w:t>
      </w:r>
      <w:r w:rsidR="00692B95" w:rsidRPr="00551B34">
        <w:rPr>
          <w:rFonts w:ascii="Arial" w:hAnsi="Arial" w:cs="Arial"/>
          <w:sz w:val="22"/>
          <w:szCs w:val="22"/>
        </w:rPr>
        <w:t>28</w:t>
      </w:r>
      <w:r w:rsidR="00720A14">
        <w:rPr>
          <w:rFonts w:ascii="Arial" w:hAnsi="Arial" w:cs="Arial"/>
          <w:sz w:val="22"/>
          <w:szCs w:val="22"/>
        </w:rPr>
        <w:t>6</w:t>
      </w:r>
      <w:r w:rsidR="00692B95" w:rsidRPr="00551B34">
        <w:rPr>
          <w:rFonts w:ascii="Arial" w:hAnsi="Arial" w:cs="Arial"/>
          <w:sz w:val="22"/>
          <w:szCs w:val="22"/>
        </w:rPr>
        <w:t>.</w:t>
      </w:r>
      <w:r w:rsidR="00720A14">
        <w:rPr>
          <w:rFonts w:ascii="Arial" w:hAnsi="Arial" w:cs="Arial"/>
          <w:sz w:val="22"/>
          <w:szCs w:val="22"/>
        </w:rPr>
        <w:t>87</w:t>
      </w:r>
      <w:r w:rsidR="00692B95" w:rsidRPr="00551B34">
        <w:rPr>
          <w:rFonts w:ascii="Arial" w:hAnsi="Arial" w:cs="Arial"/>
          <w:sz w:val="22"/>
          <w:szCs w:val="22"/>
        </w:rPr>
        <w:t xml:space="preserve"> </w:t>
      </w:r>
      <w:r w:rsidR="00EE3BDE" w:rsidRPr="00551B34">
        <w:rPr>
          <w:rFonts w:ascii="Arial" w:hAnsi="Arial" w:cs="Arial"/>
          <w:sz w:val="22"/>
          <w:szCs w:val="22"/>
        </w:rPr>
        <w:t>million which is</w:t>
      </w:r>
      <w:r w:rsidR="00AD23CE" w:rsidRPr="00551B34">
        <w:rPr>
          <w:rFonts w:ascii="Arial" w:hAnsi="Arial" w:cs="Arial"/>
          <w:sz w:val="22"/>
          <w:szCs w:val="22"/>
        </w:rPr>
        <w:t xml:space="preserve"> </w:t>
      </w:r>
      <w:r w:rsidR="00720A14">
        <w:rPr>
          <w:rFonts w:ascii="Arial" w:hAnsi="Arial" w:cs="Arial"/>
          <w:sz w:val="22"/>
          <w:szCs w:val="22"/>
        </w:rPr>
        <w:t>3</w:t>
      </w:r>
      <w:r w:rsidR="00AD23CE" w:rsidRPr="00551B34">
        <w:rPr>
          <w:rFonts w:ascii="Arial" w:hAnsi="Arial" w:cs="Arial"/>
          <w:sz w:val="22"/>
          <w:szCs w:val="22"/>
        </w:rPr>
        <w:t>.</w:t>
      </w:r>
      <w:r w:rsidR="00720A14">
        <w:rPr>
          <w:rFonts w:ascii="Arial" w:hAnsi="Arial" w:cs="Arial"/>
          <w:sz w:val="22"/>
          <w:szCs w:val="22"/>
        </w:rPr>
        <w:t>99</w:t>
      </w:r>
      <w:r w:rsidR="00EE3BDE" w:rsidRPr="00551B34">
        <w:rPr>
          <w:rFonts w:ascii="Arial" w:hAnsi="Arial" w:cs="Arial"/>
          <w:sz w:val="22"/>
          <w:szCs w:val="22"/>
        </w:rPr>
        <w:t xml:space="preserve">% of the average net asset values during the </w:t>
      </w:r>
      <w:r w:rsidR="00DD3891" w:rsidRPr="00551B34">
        <w:rPr>
          <w:rFonts w:ascii="Arial" w:hAnsi="Arial" w:cs="Arial"/>
          <w:sz w:val="22"/>
          <w:szCs w:val="22"/>
        </w:rPr>
        <w:t>period</w:t>
      </w:r>
      <w:r w:rsidR="00EE3BDE" w:rsidRPr="00551B34">
        <w:rPr>
          <w:rFonts w:ascii="Arial" w:hAnsi="Arial" w:cs="Arial"/>
          <w:sz w:val="22"/>
          <w:szCs w:val="22"/>
        </w:rPr>
        <w:t>.</w:t>
      </w:r>
    </w:p>
    <w:p w14:paraId="657C0DFB" w14:textId="213D26F1" w:rsidR="00300483" w:rsidRPr="00551B34" w:rsidRDefault="00300483" w:rsidP="00F7585E">
      <w:pPr>
        <w:pStyle w:val="ListParagraph"/>
        <w:numPr>
          <w:ilvl w:val="0"/>
          <w:numId w:val="5"/>
        </w:numPr>
        <w:tabs>
          <w:tab w:val="left" w:pos="540"/>
        </w:tabs>
        <w:spacing w:before="120" w:after="120" w:line="380" w:lineRule="exact"/>
        <w:ind w:left="547" w:hanging="547"/>
        <w:contextualSpacing w:val="0"/>
        <w:rPr>
          <w:rFonts w:ascii="Arial" w:hAnsi="Arial" w:cs="Arial"/>
          <w:b/>
          <w:bCs/>
          <w:sz w:val="22"/>
          <w:szCs w:val="22"/>
        </w:rPr>
      </w:pPr>
      <w:r w:rsidRPr="00551B34">
        <w:rPr>
          <w:rFonts w:ascii="Arial" w:hAnsi="Arial" w:cs="Arial"/>
          <w:b/>
          <w:bCs/>
          <w:sz w:val="22"/>
          <w:szCs w:val="22"/>
        </w:rPr>
        <w:t>Segment Information</w:t>
      </w:r>
    </w:p>
    <w:p w14:paraId="63313AA9" w14:textId="77777777" w:rsidR="00300483" w:rsidRPr="00551B34" w:rsidRDefault="00300483" w:rsidP="00F7585E">
      <w:pPr>
        <w:tabs>
          <w:tab w:val="left" w:pos="2880"/>
          <w:tab w:val="left" w:pos="5760"/>
          <w:tab w:val="decimal" w:pos="6660"/>
          <w:tab w:val="left" w:pos="7110"/>
          <w:tab w:val="decimal" w:pos="7920"/>
        </w:tabs>
        <w:spacing w:before="120" w:after="120" w:line="380" w:lineRule="exact"/>
        <w:ind w:left="547" w:right="-43" w:hanging="547"/>
        <w:jc w:val="thaiDistribute"/>
        <w:rPr>
          <w:rFonts w:ascii="Arial" w:hAnsi="Arial" w:cs="Arial"/>
          <w:sz w:val="22"/>
          <w:szCs w:val="22"/>
        </w:rPr>
      </w:pPr>
      <w:r w:rsidRPr="00551B34">
        <w:rPr>
          <w:rFonts w:ascii="Arial" w:hAnsi="Arial" w:cs="Arial"/>
          <w:sz w:val="22"/>
          <w:szCs w:val="22"/>
        </w:rPr>
        <w:tab/>
        <w:t xml:space="preserve">The one main reportable operating segment of the Trust is lease of property investment and the single geographical area of its operations is Thailand. Segment performance is measured based on operating profit or loss, on a basis consistent with that used to measure operating profit or loss in the financial statements. As a result, </w:t>
      </w:r>
      <w:proofErr w:type="gramStart"/>
      <w:r w:rsidRPr="00551B34">
        <w:rPr>
          <w:rFonts w:ascii="Arial" w:hAnsi="Arial" w:cs="Arial"/>
          <w:sz w:val="22"/>
          <w:szCs w:val="22"/>
        </w:rPr>
        <w:t>all of</w:t>
      </w:r>
      <w:proofErr w:type="gramEnd"/>
      <w:r w:rsidRPr="00551B34">
        <w:rPr>
          <w:rFonts w:ascii="Arial" w:hAnsi="Arial" w:cs="Arial"/>
          <w:sz w:val="22"/>
          <w:szCs w:val="22"/>
        </w:rPr>
        <w:t xml:space="preserve"> the revenues, operating profits and assets as reflected in these financial statements pertain to the aforementioned reportable operating segment and geographical area.</w:t>
      </w:r>
    </w:p>
    <w:p w14:paraId="363334C4" w14:textId="06715E83" w:rsidR="00300483" w:rsidRPr="00551B34" w:rsidRDefault="00300483" w:rsidP="00F7585E">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sidRPr="00551B34">
        <w:rPr>
          <w:rFonts w:ascii="Arial" w:hAnsi="Arial" w:cs="Arial"/>
          <w:sz w:val="22"/>
          <w:szCs w:val="22"/>
        </w:rPr>
        <w:tab/>
        <w:t>During the period, the Trust has no major customer with revenue of 10 percent or more of an entity’s revenues</w:t>
      </w:r>
      <w:r w:rsidR="00DD3891" w:rsidRPr="00551B34">
        <w:rPr>
          <w:rFonts w:ascii="Arial" w:hAnsi="Arial" w:cs="Arial"/>
          <w:sz w:val="22"/>
          <w:szCs w:val="22"/>
        </w:rPr>
        <w:t>.</w:t>
      </w:r>
    </w:p>
    <w:p w14:paraId="0F6177DF" w14:textId="180DE2A8" w:rsidR="00863AA8" w:rsidRPr="00551B34" w:rsidRDefault="00DC2936" w:rsidP="00863AA8">
      <w:pPr>
        <w:pStyle w:val="ListParagraph"/>
        <w:numPr>
          <w:ilvl w:val="0"/>
          <w:numId w:val="5"/>
        </w:numPr>
        <w:tabs>
          <w:tab w:val="left" w:pos="540"/>
        </w:tabs>
        <w:spacing w:before="120" w:after="120" w:line="380" w:lineRule="exact"/>
        <w:ind w:left="547" w:hanging="540"/>
        <w:contextualSpacing w:val="0"/>
        <w:rPr>
          <w:rFonts w:ascii="Arial" w:hAnsi="Arial" w:cs="Arial"/>
          <w:b/>
          <w:bCs/>
          <w:sz w:val="22"/>
          <w:szCs w:val="22"/>
        </w:rPr>
      </w:pPr>
      <w:r w:rsidRPr="00551B34">
        <w:rPr>
          <w:rFonts w:ascii="Arial" w:hAnsi="Arial" w:cs="Arial"/>
          <w:b/>
          <w:bCs/>
          <w:sz w:val="22"/>
          <w:szCs w:val="22"/>
        </w:rPr>
        <w:t>Event after reporting period</w:t>
      </w:r>
    </w:p>
    <w:p w14:paraId="76241962" w14:textId="73DE31BD" w:rsidR="00CA7822" w:rsidRPr="00551B34" w:rsidRDefault="003A704E" w:rsidP="003A704E">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sidRPr="00551B34">
        <w:rPr>
          <w:rFonts w:ascii="Arial" w:hAnsi="Arial" w:cs="Arial"/>
          <w:sz w:val="22"/>
          <w:szCs w:val="22"/>
          <w:cs/>
        </w:rPr>
        <w:tab/>
      </w:r>
      <w:r w:rsidR="00863AA8" w:rsidRPr="00551B34">
        <w:rPr>
          <w:rFonts w:ascii="Arial" w:hAnsi="Arial" w:cs="Arial"/>
          <w:sz w:val="22"/>
          <w:szCs w:val="22"/>
        </w:rPr>
        <w:t xml:space="preserve">On </w:t>
      </w:r>
      <w:r w:rsidR="00782820">
        <w:rPr>
          <w:rFonts w:ascii="Arial" w:hAnsi="Arial" w:cs="Arial"/>
          <w:sz w:val="22"/>
          <w:szCs w:val="22"/>
        </w:rPr>
        <w:t>14 May</w:t>
      </w:r>
      <w:r w:rsidR="00863AA8" w:rsidRPr="00551B34">
        <w:rPr>
          <w:rFonts w:ascii="Arial" w:hAnsi="Arial" w:cs="Arial"/>
          <w:sz w:val="22"/>
          <w:szCs w:val="22"/>
        </w:rPr>
        <w:t xml:space="preserve"> 202</w:t>
      </w:r>
      <w:r w:rsidR="008131AC" w:rsidRPr="00551B34">
        <w:rPr>
          <w:rFonts w:ascii="Arial" w:hAnsi="Arial" w:cs="Arial"/>
          <w:sz w:val="22"/>
          <w:szCs w:val="22"/>
        </w:rPr>
        <w:t>5</w:t>
      </w:r>
      <w:r w:rsidR="00863AA8" w:rsidRPr="00551B34">
        <w:rPr>
          <w:rFonts w:ascii="Arial" w:hAnsi="Arial" w:cs="Arial"/>
          <w:sz w:val="22"/>
          <w:szCs w:val="22"/>
        </w:rPr>
        <w:t>, a meeting of Board of Directors of the REIT Manager passed a resolution to approve the appropriation of an interim distribution of Baht</w:t>
      </w:r>
      <w:r w:rsidR="00A85217" w:rsidRPr="00551B34">
        <w:rPr>
          <w:rFonts w:ascii="Arial" w:hAnsi="Arial" w:cs="Arial"/>
          <w:sz w:val="22"/>
          <w:szCs w:val="22"/>
        </w:rPr>
        <w:t xml:space="preserve"> </w:t>
      </w:r>
      <w:r w:rsidR="00782820">
        <w:rPr>
          <w:rFonts w:ascii="Arial" w:hAnsi="Arial" w:cs="Arial"/>
          <w:sz w:val="22"/>
          <w:szCs w:val="22"/>
        </w:rPr>
        <w:t>0.1550</w:t>
      </w:r>
      <w:r w:rsidR="00A85217" w:rsidRPr="00551B34">
        <w:rPr>
          <w:rFonts w:ascii="Arial" w:hAnsi="Arial" w:cs="Arial"/>
          <w:sz w:val="22"/>
          <w:szCs w:val="22"/>
        </w:rPr>
        <w:t xml:space="preserve"> </w:t>
      </w:r>
      <w:r w:rsidR="00863AA8" w:rsidRPr="00551B34">
        <w:rPr>
          <w:rFonts w:ascii="Arial" w:hAnsi="Arial" w:cs="Arial"/>
          <w:sz w:val="22"/>
          <w:szCs w:val="22"/>
        </w:rPr>
        <w:t>per unit trust, or a total of Baht</w:t>
      </w:r>
      <w:r w:rsidR="00A85217" w:rsidRPr="00551B34">
        <w:rPr>
          <w:rFonts w:ascii="Arial" w:hAnsi="Arial" w:cs="Arial"/>
          <w:sz w:val="22"/>
          <w:szCs w:val="22"/>
        </w:rPr>
        <w:t xml:space="preserve"> </w:t>
      </w:r>
      <w:r w:rsidR="00782820">
        <w:rPr>
          <w:rFonts w:ascii="Arial" w:hAnsi="Arial" w:cs="Arial"/>
          <w:sz w:val="22"/>
          <w:szCs w:val="22"/>
        </w:rPr>
        <w:t>114,370,171</w:t>
      </w:r>
      <w:r w:rsidR="00A85217" w:rsidRPr="00551B34">
        <w:rPr>
          <w:rFonts w:ascii="Arial" w:hAnsi="Arial" w:cs="Arial"/>
          <w:sz w:val="22"/>
          <w:szCs w:val="22"/>
        </w:rPr>
        <w:t xml:space="preserve"> </w:t>
      </w:r>
      <w:r w:rsidR="00863AA8" w:rsidRPr="00551B34">
        <w:rPr>
          <w:rFonts w:ascii="Arial" w:hAnsi="Arial" w:cs="Arial"/>
          <w:sz w:val="22"/>
          <w:szCs w:val="22"/>
        </w:rPr>
        <w:t xml:space="preserve">The Trust will pay the interim distribution to its unitholders on </w:t>
      </w:r>
      <w:r w:rsidR="00782820">
        <w:rPr>
          <w:rFonts w:ascii="Arial" w:hAnsi="Arial" w:cs="Arial"/>
          <w:sz w:val="22"/>
          <w:szCs w:val="22"/>
        </w:rPr>
        <w:t>13 June 2025.</w:t>
      </w:r>
    </w:p>
    <w:p w14:paraId="2355AD56" w14:textId="16333E49" w:rsidR="00347BC2" w:rsidRPr="00551B34" w:rsidRDefault="00347BC2" w:rsidP="00F7585E">
      <w:pPr>
        <w:pStyle w:val="ListParagraph"/>
        <w:numPr>
          <w:ilvl w:val="0"/>
          <w:numId w:val="5"/>
        </w:numPr>
        <w:tabs>
          <w:tab w:val="left" w:pos="540"/>
        </w:tabs>
        <w:spacing w:before="120" w:after="120" w:line="380" w:lineRule="exact"/>
        <w:ind w:left="547" w:hanging="540"/>
        <w:contextualSpacing w:val="0"/>
        <w:rPr>
          <w:rFonts w:ascii="Arial" w:hAnsi="Arial" w:cs="Arial"/>
          <w:b/>
          <w:bCs/>
          <w:sz w:val="22"/>
          <w:szCs w:val="22"/>
        </w:rPr>
      </w:pPr>
      <w:r w:rsidRPr="00551B34">
        <w:rPr>
          <w:rFonts w:ascii="Arial" w:hAnsi="Arial" w:cs="Arial"/>
          <w:b/>
          <w:bCs/>
          <w:sz w:val="22"/>
          <w:szCs w:val="22"/>
        </w:rPr>
        <w:t xml:space="preserve">Approval of </w:t>
      </w:r>
      <w:r w:rsidR="0007125A">
        <w:rPr>
          <w:rFonts w:ascii="Arial" w:hAnsi="Arial" w:cs="Arial"/>
          <w:b/>
          <w:bCs/>
          <w:sz w:val="22"/>
          <w:szCs w:val="22"/>
        </w:rPr>
        <w:t xml:space="preserve">interim </w:t>
      </w:r>
      <w:r w:rsidRPr="00551B34">
        <w:rPr>
          <w:rFonts w:ascii="Arial" w:hAnsi="Arial" w:cs="Arial"/>
          <w:b/>
          <w:bCs/>
          <w:sz w:val="22"/>
          <w:szCs w:val="22"/>
        </w:rPr>
        <w:t xml:space="preserve">financial </w:t>
      </w:r>
      <w:r w:rsidR="008762A4" w:rsidRPr="00551B34">
        <w:rPr>
          <w:rFonts w:ascii="Arial" w:hAnsi="Arial" w:cs="Arial"/>
          <w:b/>
          <w:bCs/>
          <w:sz w:val="22"/>
          <w:szCs w:val="22"/>
        </w:rPr>
        <w:t>information</w:t>
      </w:r>
    </w:p>
    <w:p w14:paraId="28E77B2F" w14:textId="0B16A846" w:rsidR="00347BC2" w:rsidRPr="00551B34" w:rsidRDefault="00347BC2" w:rsidP="00F7585E">
      <w:pPr>
        <w:tabs>
          <w:tab w:val="left" w:pos="2880"/>
        </w:tabs>
        <w:spacing w:before="120" w:after="120" w:line="380" w:lineRule="exact"/>
        <w:ind w:left="547" w:hanging="547"/>
        <w:jc w:val="thaiDistribute"/>
        <w:rPr>
          <w:rFonts w:ascii="Arial" w:hAnsi="Arial" w:cs="Arial"/>
          <w:sz w:val="22"/>
          <w:szCs w:val="22"/>
          <w:cs/>
        </w:rPr>
      </w:pPr>
      <w:r w:rsidRPr="00551B34">
        <w:rPr>
          <w:rFonts w:ascii="Arial" w:hAnsi="Arial" w:cs="Arial"/>
          <w:sz w:val="22"/>
          <w:szCs w:val="22"/>
        </w:rPr>
        <w:tab/>
      </w:r>
      <w:r w:rsidR="00766B47" w:rsidRPr="00551B34">
        <w:rPr>
          <w:rFonts w:ascii="Arial" w:hAnsi="Arial" w:cs="Arial"/>
          <w:sz w:val="22"/>
          <w:szCs w:val="22"/>
        </w:rPr>
        <w:t>Th</w:t>
      </w:r>
      <w:r w:rsidR="00B92C53" w:rsidRPr="00551B34">
        <w:rPr>
          <w:rFonts w:ascii="Arial" w:hAnsi="Arial" w:cs="Arial"/>
          <w:sz w:val="22"/>
          <w:szCs w:val="22"/>
        </w:rPr>
        <w:t>is</w:t>
      </w:r>
      <w:r w:rsidR="00766B47" w:rsidRPr="00551B34">
        <w:rPr>
          <w:rFonts w:ascii="Arial" w:hAnsi="Arial" w:cs="Arial"/>
          <w:sz w:val="22"/>
          <w:szCs w:val="22"/>
        </w:rPr>
        <w:t xml:space="preserve"> interim financial </w:t>
      </w:r>
      <w:r w:rsidR="008762A4" w:rsidRPr="00551B34">
        <w:rPr>
          <w:rFonts w:ascii="Arial" w:hAnsi="Arial" w:cs="Arial"/>
          <w:sz w:val="22"/>
          <w:szCs w:val="22"/>
        </w:rPr>
        <w:t>information</w:t>
      </w:r>
      <w:r w:rsidR="00766B47" w:rsidRPr="00551B34">
        <w:rPr>
          <w:rFonts w:ascii="Arial" w:hAnsi="Arial" w:cs="Arial"/>
          <w:sz w:val="22"/>
          <w:szCs w:val="22"/>
        </w:rPr>
        <w:t xml:space="preserve"> </w:t>
      </w:r>
      <w:r w:rsidR="008762A4" w:rsidRPr="00551B34">
        <w:rPr>
          <w:rFonts w:ascii="Arial" w:hAnsi="Arial" w:cs="Arial"/>
          <w:sz w:val="22"/>
          <w:szCs w:val="22"/>
        </w:rPr>
        <w:t>was</w:t>
      </w:r>
      <w:r w:rsidR="00766B47" w:rsidRPr="00551B34">
        <w:rPr>
          <w:rFonts w:ascii="Arial" w:hAnsi="Arial" w:cs="Arial"/>
          <w:sz w:val="22"/>
          <w:szCs w:val="22"/>
        </w:rPr>
        <w:t xml:space="preserve"> </w:t>
      </w:r>
      <w:proofErr w:type="spellStart"/>
      <w:r w:rsidR="00766B47" w:rsidRPr="00551B34">
        <w:rPr>
          <w:rFonts w:ascii="Arial" w:hAnsi="Arial" w:cs="Arial"/>
          <w:sz w:val="22"/>
          <w:szCs w:val="22"/>
        </w:rPr>
        <w:t>authorised</w:t>
      </w:r>
      <w:proofErr w:type="spellEnd"/>
      <w:r w:rsidR="00766B47" w:rsidRPr="00551B34">
        <w:rPr>
          <w:rFonts w:ascii="Arial" w:hAnsi="Arial" w:cs="Arial"/>
          <w:sz w:val="22"/>
          <w:szCs w:val="22"/>
        </w:rPr>
        <w:t xml:space="preserve"> for issue by the </w:t>
      </w:r>
      <w:proofErr w:type="spellStart"/>
      <w:r w:rsidR="00766B47" w:rsidRPr="00551B34">
        <w:rPr>
          <w:rFonts w:ascii="Arial" w:hAnsi="Arial" w:cs="Arial"/>
          <w:sz w:val="22"/>
          <w:szCs w:val="22"/>
        </w:rPr>
        <w:t>authorised</w:t>
      </w:r>
      <w:proofErr w:type="spellEnd"/>
      <w:r w:rsidR="00766B47" w:rsidRPr="00551B34">
        <w:rPr>
          <w:rFonts w:ascii="Arial" w:hAnsi="Arial" w:cs="Arial"/>
          <w:sz w:val="22"/>
          <w:szCs w:val="22"/>
        </w:rPr>
        <w:t xml:space="preserve"> person of                           the REIT Manager on</w:t>
      </w:r>
      <w:r w:rsidR="007D2686" w:rsidRPr="00551B34">
        <w:rPr>
          <w:rFonts w:ascii="Arial" w:hAnsi="Arial" w:cs="Arial"/>
          <w:sz w:val="22"/>
          <w:szCs w:val="22"/>
        </w:rPr>
        <w:t xml:space="preserve"> 14</w:t>
      </w:r>
      <w:r w:rsidR="00AC62A9" w:rsidRPr="00551B34">
        <w:rPr>
          <w:rFonts w:ascii="Arial" w:hAnsi="Arial" w:cs="Arial"/>
          <w:sz w:val="22"/>
          <w:szCs w:val="22"/>
        </w:rPr>
        <w:t xml:space="preserve"> May</w:t>
      </w:r>
      <w:r w:rsidR="00CA7822" w:rsidRPr="00551B34">
        <w:rPr>
          <w:rFonts w:ascii="Arial" w:hAnsi="Arial" w:cs="Arial"/>
          <w:sz w:val="22"/>
          <w:szCs w:val="22"/>
        </w:rPr>
        <w:t xml:space="preserve"> 202</w:t>
      </w:r>
      <w:r w:rsidR="008131AC" w:rsidRPr="00551B34">
        <w:rPr>
          <w:rFonts w:ascii="Arial" w:hAnsi="Arial" w:cs="Arial"/>
          <w:sz w:val="22"/>
          <w:szCs w:val="22"/>
        </w:rPr>
        <w:t>5</w:t>
      </w:r>
      <w:r w:rsidR="00766B47" w:rsidRPr="00551B34">
        <w:rPr>
          <w:rFonts w:ascii="Arial" w:hAnsi="Arial" w:cs="Arial"/>
          <w:sz w:val="22"/>
          <w:szCs w:val="22"/>
        </w:rPr>
        <w:t>.</w:t>
      </w:r>
    </w:p>
    <w:sectPr w:rsidR="00347BC2" w:rsidRPr="00551B34" w:rsidSect="00765B3C">
      <w:headerReference w:type="default" r:id="rId11"/>
      <w:footerReference w:type="even" r:id="rId12"/>
      <w:footerReference w:type="default" r:id="rId13"/>
      <w:pgSz w:w="11909" w:h="16834" w:code="9"/>
      <w:pgMar w:top="1296" w:right="1080" w:bottom="1080" w:left="1296" w:header="706" w:footer="706" w:gutter="0"/>
      <w:pgNumType w:start="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0E7EB" w14:textId="77777777" w:rsidR="005244A7" w:rsidRDefault="005244A7" w:rsidP="00347BC2">
      <w:r>
        <w:separator/>
      </w:r>
    </w:p>
  </w:endnote>
  <w:endnote w:type="continuationSeparator" w:id="0">
    <w:p w14:paraId="1A352890" w14:textId="77777777" w:rsidR="005244A7" w:rsidRDefault="005244A7" w:rsidP="00347BC2">
      <w:r>
        <w:continuationSeparator/>
      </w:r>
    </w:p>
  </w:endnote>
  <w:endnote w:type="continuationNotice" w:id="1">
    <w:p w14:paraId="3764AA72" w14:textId="77777777" w:rsidR="005244A7" w:rsidRDefault="005244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F2D03" w14:textId="77777777" w:rsidR="00D14996" w:rsidRDefault="00D14996" w:rsidP="00870D2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1E9539" w14:textId="77777777" w:rsidR="00D14996" w:rsidRDefault="00D14996" w:rsidP="00870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14D1F" w14:textId="77777777" w:rsidR="00D14996" w:rsidRDefault="00D14996">
    <w:pPr>
      <w:pStyle w:val="Footer"/>
      <w:jc w:val="right"/>
    </w:pPr>
    <w:r w:rsidRPr="00347BC2">
      <w:rPr>
        <w:rFonts w:ascii="Arial" w:hAnsi="Arial" w:cs="Arial"/>
        <w:sz w:val="22"/>
        <w:szCs w:val="22"/>
      </w:rPr>
      <w:fldChar w:fldCharType="begin"/>
    </w:r>
    <w:r w:rsidRPr="00347BC2">
      <w:rPr>
        <w:rFonts w:ascii="Arial" w:hAnsi="Arial" w:cs="Arial"/>
        <w:sz w:val="22"/>
        <w:szCs w:val="22"/>
      </w:rPr>
      <w:instrText xml:space="preserve"> PAGE   \* MERGEFORMAT </w:instrText>
    </w:r>
    <w:r w:rsidRPr="00347BC2">
      <w:rPr>
        <w:rFonts w:ascii="Arial" w:hAnsi="Arial" w:cs="Arial"/>
        <w:sz w:val="22"/>
        <w:szCs w:val="22"/>
      </w:rPr>
      <w:fldChar w:fldCharType="separate"/>
    </w:r>
    <w:r>
      <w:rPr>
        <w:rFonts w:ascii="Arial" w:hAnsi="Arial" w:cs="Arial"/>
        <w:noProof/>
        <w:sz w:val="22"/>
        <w:szCs w:val="22"/>
      </w:rPr>
      <w:t>21</w:t>
    </w:r>
    <w:r w:rsidRPr="00347BC2">
      <w:rPr>
        <w:rFonts w:ascii="Arial" w:hAnsi="Arial" w:cs="Arial"/>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29132" w14:textId="77777777" w:rsidR="005244A7" w:rsidRDefault="005244A7" w:rsidP="00347BC2">
      <w:r>
        <w:separator/>
      </w:r>
    </w:p>
  </w:footnote>
  <w:footnote w:type="continuationSeparator" w:id="0">
    <w:p w14:paraId="6A4E476D" w14:textId="77777777" w:rsidR="005244A7" w:rsidRDefault="005244A7" w:rsidP="00347BC2">
      <w:r>
        <w:continuationSeparator/>
      </w:r>
    </w:p>
  </w:footnote>
  <w:footnote w:type="continuationNotice" w:id="1">
    <w:p w14:paraId="05E87CF9" w14:textId="77777777" w:rsidR="005244A7" w:rsidRDefault="005244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D3622" w14:textId="77777777" w:rsidR="00D14996" w:rsidRPr="000D1296" w:rsidRDefault="00D14996" w:rsidP="00970E7C">
    <w:pPr>
      <w:pStyle w:val="Header"/>
      <w:jc w:val="right"/>
      <w:rPr>
        <w:rFonts w:ascii="Arial" w:hAnsi="Arial"/>
        <w:sz w:val="22"/>
        <w:szCs w:val="22"/>
      </w:rPr>
    </w:pPr>
    <w:r w:rsidRPr="000D1296">
      <w:rPr>
        <w:rFonts w:ascii="Arial" w:hAnsi="Arial"/>
        <w:sz w:val="22"/>
        <w:szCs w:val="22"/>
      </w:rPr>
      <w:t>(Unaudited but reviewed)</w:t>
    </w:r>
  </w:p>
  <w:p w14:paraId="0BD26124" w14:textId="77777777" w:rsidR="00D14996" w:rsidRDefault="00D149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B209B"/>
    <w:multiLevelType w:val="hybridMultilevel"/>
    <w:tmpl w:val="B6CAD7BA"/>
    <w:lvl w:ilvl="0" w:tplc="15EECFB4">
      <w:start w:val="1"/>
      <w:numFmt w:val="decimal"/>
      <w:lvlText w:val="%1."/>
      <w:lvlJc w:val="left"/>
      <w:pPr>
        <w:ind w:left="900" w:hanging="54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4C38B9"/>
    <w:multiLevelType w:val="hybridMultilevel"/>
    <w:tmpl w:val="C27A34F2"/>
    <w:lvl w:ilvl="0" w:tplc="45EA8520">
      <w:start w:val="1"/>
      <w:numFmt w:val="decimal"/>
      <w:lvlText w:val="%1."/>
      <w:lvlJc w:val="left"/>
      <w:pPr>
        <w:ind w:left="900" w:hanging="54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F6590"/>
    <w:multiLevelType w:val="hybridMultilevel"/>
    <w:tmpl w:val="B6B03394"/>
    <w:lvl w:ilvl="0" w:tplc="270C5E3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84407C"/>
    <w:multiLevelType w:val="hybridMultilevel"/>
    <w:tmpl w:val="97A05F60"/>
    <w:lvl w:ilvl="0" w:tplc="792C153C">
      <w:start w:val="1"/>
      <w:numFmt w:val="bullet"/>
      <w:lvlText w:val=""/>
      <w:lvlJc w:val="left"/>
      <w:pPr>
        <w:ind w:left="720" w:hanging="360"/>
      </w:pPr>
      <w:rPr>
        <w:rFonts w:ascii="Symbol" w:hAnsi="Symbol" w:hint="default"/>
        <w:b/>
        <w:bCs/>
        <w:sz w:val="18"/>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8B14DC"/>
    <w:multiLevelType w:val="hybridMultilevel"/>
    <w:tmpl w:val="A7D4E9EE"/>
    <w:lvl w:ilvl="0" w:tplc="D7A8EF3E">
      <w:start w:val="13"/>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BD1022"/>
    <w:multiLevelType w:val="hybridMultilevel"/>
    <w:tmpl w:val="F7CAAA5E"/>
    <w:lvl w:ilvl="0" w:tplc="F860FBB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2AAB16D5"/>
    <w:multiLevelType w:val="hybridMultilevel"/>
    <w:tmpl w:val="2A323696"/>
    <w:lvl w:ilvl="0" w:tplc="0409000F">
      <w:start w:val="1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E2C1189"/>
    <w:multiLevelType w:val="hybridMultilevel"/>
    <w:tmpl w:val="E1C6F5C4"/>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F27147A"/>
    <w:multiLevelType w:val="hybridMultilevel"/>
    <w:tmpl w:val="67660CFC"/>
    <w:lvl w:ilvl="0" w:tplc="6850556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329A063D"/>
    <w:multiLevelType w:val="hybridMultilevel"/>
    <w:tmpl w:val="82CC3B1C"/>
    <w:lvl w:ilvl="0" w:tplc="23060212">
      <w:start w:val="1"/>
      <w:numFmt w:val="decimal"/>
      <w:lvlText w:val="%1."/>
      <w:lvlJc w:val="left"/>
      <w:pPr>
        <w:ind w:left="900" w:hanging="540"/>
      </w:pPr>
      <w:rPr>
        <w:rFonts w:hint="default"/>
        <w:b/>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0D141D"/>
    <w:multiLevelType w:val="hybridMultilevel"/>
    <w:tmpl w:val="88107710"/>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11" w15:restartNumberingAfterBreak="0">
    <w:nsid w:val="46172A37"/>
    <w:multiLevelType w:val="multilevel"/>
    <w:tmpl w:val="8F843BF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b/>
        <w:bCs/>
        <w:lang w:bidi="th-TH"/>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513A5311"/>
    <w:multiLevelType w:val="hybridMultilevel"/>
    <w:tmpl w:val="04207982"/>
    <w:lvl w:ilvl="0" w:tplc="F694426E">
      <w:start w:val="1"/>
      <w:numFmt w:val="decimal"/>
      <w:lvlText w:val="%1."/>
      <w:lvlJc w:val="left"/>
      <w:pPr>
        <w:ind w:left="45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3367A9"/>
    <w:multiLevelType w:val="hybridMultilevel"/>
    <w:tmpl w:val="5CF6D492"/>
    <w:lvl w:ilvl="0" w:tplc="14BA67B0">
      <w:start w:val="14"/>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A809A8"/>
    <w:multiLevelType w:val="hybridMultilevel"/>
    <w:tmpl w:val="61DA5942"/>
    <w:lvl w:ilvl="0" w:tplc="DAB85E34">
      <w:start w:val="19"/>
      <w:numFmt w:val="bullet"/>
      <w:lvlText w:val="-"/>
      <w:lvlJc w:val="left"/>
      <w:pPr>
        <w:ind w:left="1080" w:hanging="360"/>
      </w:pPr>
      <w:rPr>
        <w:rFonts w:ascii="Times New Roman" w:eastAsia="Cordia New"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654F463D"/>
    <w:multiLevelType w:val="hybridMultilevel"/>
    <w:tmpl w:val="2B608CC4"/>
    <w:lvl w:ilvl="0" w:tplc="666828C6">
      <w:numFmt w:val="bullet"/>
      <w:lvlText w:val="-"/>
      <w:lvlJc w:val="left"/>
      <w:pPr>
        <w:ind w:left="720" w:hanging="360"/>
      </w:pPr>
      <w:rPr>
        <w:rFonts w:ascii="AngsanaUPC" w:eastAsiaTheme="minorHAnsi" w:hAnsi="AngsanaUPC" w:cs="AngsanaUPC"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7684711">
    <w:abstractNumId w:val="13"/>
  </w:num>
  <w:num w:numId="2" w16cid:durableId="1153761386">
    <w:abstractNumId w:val="5"/>
  </w:num>
  <w:num w:numId="3" w16cid:durableId="235213128">
    <w:abstractNumId w:val="12"/>
  </w:num>
  <w:num w:numId="4" w16cid:durableId="1640723183">
    <w:abstractNumId w:val="0"/>
  </w:num>
  <w:num w:numId="5" w16cid:durableId="1632325373">
    <w:abstractNumId w:val="2"/>
  </w:num>
  <w:num w:numId="6" w16cid:durableId="1387148956">
    <w:abstractNumId w:val="1"/>
  </w:num>
  <w:num w:numId="7" w16cid:durableId="1292520459">
    <w:abstractNumId w:val="14"/>
  </w:num>
  <w:num w:numId="8" w16cid:durableId="385759926">
    <w:abstractNumId w:val="9"/>
  </w:num>
  <w:num w:numId="9" w16cid:durableId="990255497">
    <w:abstractNumId w:val="11"/>
  </w:num>
  <w:num w:numId="10" w16cid:durableId="1125660730">
    <w:abstractNumId w:val="7"/>
  </w:num>
  <w:num w:numId="11" w16cid:durableId="1654484985">
    <w:abstractNumId w:val="15"/>
  </w:num>
  <w:num w:numId="12" w16cid:durableId="674842193">
    <w:abstractNumId w:val="10"/>
  </w:num>
  <w:num w:numId="13" w16cid:durableId="54476971">
    <w:abstractNumId w:val="3"/>
  </w:num>
  <w:num w:numId="14" w16cid:durableId="1401320261">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98343170">
    <w:abstractNumId w:val="4"/>
  </w:num>
  <w:num w:numId="16" w16cid:durableId="8710426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6"/>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BC2"/>
    <w:rsid w:val="00001E9E"/>
    <w:rsid w:val="0000466F"/>
    <w:rsid w:val="000049CD"/>
    <w:rsid w:val="00007A39"/>
    <w:rsid w:val="00013660"/>
    <w:rsid w:val="00021785"/>
    <w:rsid w:val="0002198C"/>
    <w:rsid w:val="00026396"/>
    <w:rsid w:val="00026981"/>
    <w:rsid w:val="000271C8"/>
    <w:rsid w:val="00035A0B"/>
    <w:rsid w:val="00036CFE"/>
    <w:rsid w:val="00040AA1"/>
    <w:rsid w:val="00040E5B"/>
    <w:rsid w:val="00042A28"/>
    <w:rsid w:val="000439CC"/>
    <w:rsid w:val="0005331F"/>
    <w:rsid w:val="00053564"/>
    <w:rsid w:val="00055B7F"/>
    <w:rsid w:val="000566E1"/>
    <w:rsid w:val="00063A85"/>
    <w:rsid w:val="000668E9"/>
    <w:rsid w:val="00067276"/>
    <w:rsid w:val="00067719"/>
    <w:rsid w:val="00067D25"/>
    <w:rsid w:val="0007125A"/>
    <w:rsid w:val="000743AB"/>
    <w:rsid w:val="00076977"/>
    <w:rsid w:val="000771A5"/>
    <w:rsid w:val="00091583"/>
    <w:rsid w:val="000916AA"/>
    <w:rsid w:val="00092646"/>
    <w:rsid w:val="0009582D"/>
    <w:rsid w:val="00097D0C"/>
    <w:rsid w:val="000A0635"/>
    <w:rsid w:val="000A072E"/>
    <w:rsid w:val="000A1797"/>
    <w:rsid w:val="000A4FC6"/>
    <w:rsid w:val="000A7452"/>
    <w:rsid w:val="000B4287"/>
    <w:rsid w:val="000C5FEB"/>
    <w:rsid w:val="000D54D0"/>
    <w:rsid w:val="000E3B29"/>
    <w:rsid w:val="000E44EC"/>
    <w:rsid w:val="000F591E"/>
    <w:rsid w:val="00100BDC"/>
    <w:rsid w:val="00101068"/>
    <w:rsid w:val="0010192A"/>
    <w:rsid w:val="0010732C"/>
    <w:rsid w:val="00113513"/>
    <w:rsid w:val="0011385F"/>
    <w:rsid w:val="0011396B"/>
    <w:rsid w:val="00114045"/>
    <w:rsid w:val="001161E3"/>
    <w:rsid w:val="00117113"/>
    <w:rsid w:val="00120786"/>
    <w:rsid w:val="00125D51"/>
    <w:rsid w:val="00130C95"/>
    <w:rsid w:val="00134325"/>
    <w:rsid w:val="00137DD6"/>
    <w:rsid w:val="00137F15"/>
    <w:rsid w:val="00142329"/>
    <w:rsid w:val="00142583"/>
    <w:rsid w:val="00142EAE"/>
    <w:rsid w:val="00143D83"/>
    <w:rsid w:val="00146BD9"/>
    <w:rsid w:val="0014744F"/>
    <w:rsid w:val="0015366B"/>
    <w:rsid w:val="00154921"/>
    <w:rsid w:val="00160118"/>
    <w:rsid w:val="001619E2"/>
    <w:rsid w:val="00161DEE"/>
    <w:rsid w:val="00163EE0"/>
    <w:rsid w:val="00164E8A"/>
    <w:rsid w:val="00175512"/>
    <w:rsid w:val="0017561D"/>
    <w:rsid w:val="0017786E"/>
    <w:rsid w:val="00184EDD"/>
    <w:rsid w:val="001857EF"/>
    <w:rsid w:val="00186EF3"/>
    <w:rsid w:val="0019169F"/>
    <w:rsid w:val="001924E3"/>
    <w:rsid w:val="001942BF"/>
    <w:rsid w:val="001A293F"/>
    <w:rsid w:val="001A4975"/>
    <w:rsid w:val="001A4B64"/>
    <w:rsid w:val="001A7048"/>
    <w:rsid w:val="001B1506"/>
    <w:rsid w:val="001B1B97"/>
    <w:rsid w:val="001B4412"/>
    <w:rsid w:val="001B4B08"/>
    <w:rsid w:val="001C210E"/>
    <w:rsid w:val="001C4263"/>
    <w:rsid w:val="001D07EE"/>
    <w:rsid w:val="001D32D9"/>
    <w:rsid w:val="001D7C4F"/>
    <w:rsid w:val="001E2774"/>
    <w:rsid w:val="001E2B36"/>
    <w:rsid w:val="001E4053"/>
    <w:rsid w:val="001E51E1"/>
    <w:rsid w:val="001E635B"/>
    <w:rsid w:val="001F133B"/>
    <w:rsid w:val="001F3382"/>
    <w:rsid w:val="001F5AEC"/>
    <w:rsid w:val="001F754D"/>
    <w:rsid w:val="001F786A"/>
    <w:rsid w:val="002003D1"/>
    <w:rsid w:val="00202131"/>
    <w:rsid w:val="00202276"/>
    <w:rsid w:val="0020395F"/>
    <w:rsid w:val="002102A6"/>
    <w:rsid w:val="00211CD7"/>
    <w:rsid w:val="00213CF0"/>
    <w:rsid w:val="00216126"/>
    <w:rsid w:val="00221BC8"/>
    <w:rsid w:val="00226064"/>
    <w:rsid w:val="00226127"/>
    <w:rsid w:val="00227B3E"/>
    <w:rsid w:val="0023022C"/>
    <w:rsid w:val="002351EC"/>
    <w:rsid w:val="00235AA6"/>
    <w:rsid w:val="002365A6"/>
    <w:rsid w:val="00237A36"/>
    <w:rsid w:val="00243524"/>
    <w:rsid w:val="002437F9"/>
    <w:rsid w:val="00246BCC"/>
    <w:rsid w:val="0025006C"/>
    <w:rsid w:val="0025234B"/>
    <w:rsid w:val="00253054"/>
    <w:rsid w:val="00253137"/>
    <w:rsid w:val="0025475D"/>
    <w:rsid w:val="00264936"/>
    <w:rsid w:val="00264AA9"/>
    <w:rsid w:val="00271CEF"/>
    <w:rsid w:val="00272433"/>
    <w:rsid w:val="00274114"/>
    <w:rsid w:val="00275B2D"/>
    <w:rsid w:val="002803A5"/>
    <w:rsid w:val="00280D04"/>
    <w:rsid w:val="00281EF8"/>
    <w:rsid w:val="0029593E"/>
    <w:rsid w:val="002965E7"/>
    <w:rsid w:val="002A07DB"/>
    <w:rsid w:val="002A1BB8"/>
    <w:rsid w:val="002A261E"/>
    <w:rsid w:val="002A3321"/>
    <w:rsid w:val="002A7974"/>
    <w:rsid w:val="002B1B8C"/>
    <w:rsid w:val="002B27FD"/>
    <w:rsid w:val="002B3EB6"/>
    <w:rsid w:val="002B4B64"/>
    <w:rsid w:val="002B5833"/>
    <w:rsid w:val="002C202D"/>
    <w:rsid w:val="002C225F"/>
    <w:rsid w:val="002C4AC6"/>
    <w:rsid w:val="002D0674"/>
    <w:rsid w:val="002D270F"/>
    <w:rsid w:val="002D449B"/>
    <w:rsid w:val="002D5BE1"/>
    <w:rsid w:val="002E1D1B"/>
    <w:rsid w:val="002E4861"/>
    <w:rsid w:val="002F7360"/>
    <w:rsid w:val="00300483"/>
    <w:rsid w:val="00301154"/>
    <w:rsid w:val="003106ED"/>
    <w:rsid w:val="00311FD6"/>
    <w:rsid w:val="00315622"/>
    <w:rsid w:val="0032056B"/>
    <w:rsid w:val="00342ECC"/>
    <w:rsid w:val="00343798"/>
    <w:rsid w:val="00347393"/>
    <w:rsid w:val="00347BC2"/>
    <w:rsid w:val="00347C41"/>
    <w:rsid w:val="00347DCE"/>
    <w:rsid w:val="00355E6A"/>
    <w:rsid w:val="00364A21"/>
    <w:rsid w:val="00365F42"/>
    <w:rsid w:val="00367264"/>
    <w:rsid w:val="00367A72"/>
    <w:rsid w:val="0037225C"/>
    <w:rsid w:val="0037457E"/>
    <w:rsid w:val="00375C7E"/>
    <w:rsid w:val="0038159B"/>
    <w:rsid w:val="003815A2"/>
    <w:rsid w:val="003832CB"/>
    <w:rsid w:val="003855AD"/>
    <w:rsid w:val="00394427"/>
    <w:rsid w:val="00395A87"/>
    <w:rsid w:val="003A06CE"/>
    <w:rsid w:val="003A0997"/>
    <w:rsid w:val="003A4A28"/>
    <w:rsid w:val="003A704E"/>
    <w:rsid w:val="003B1A73"/>
    <w:rsid w:val="003B6431"/>
    <w:rsid w:val="003B7A4C"/>
    <w:rsid w:val="003C0496"/>
    <w:rsid w:val="003C0FC9"/>
    <w:rsid w:val="003C38A6"/>
    <w:rsid w:val="003C4083"/>
    <w:rsid w:val="003C61C7"/>
    <w:rsid w:val="003C7612"/>
    <w:rsid w:val="003D3B09"/>
    <w:rsid w:val="003D59C5"/>
    <w:rsid w:val="003E2C2A"/>
    <w:rsid w:val="003E41FA"/>
    <w:rsid w:val="003E6515"/>
    <w:rsid w:val="003E7D46"/>
    <w:rsid w:val="003F219E"/>
    <w:rsid w:val="003F3DE1"/>
    <w:rsid w:val="00401E3E"/>
    <w:rsid w:val="00404AB1"/>
    <w:rsid w:val="0040525C"/>
    <w:rsid w:val="00405BAA"/>
    <w:rsid w:val="00407480"/>
    <w:rsid w:val="00413087"/>
    <w:rsid w:val="00415E97"/>
    <w:rsid w:val="00420686"/>
    <w:rsid w:val="0042182A"/>
    <w:rsid w:val="004247FF"/>
    <w:rsid w:val="004335E8"/>
    <w:rsid w:val="00435CB5"/>
    <w:rsid w:val="00435D61"/>
    <w:rsid w:val="00443F72"/>
    <w:rsid w:val="0044400B"/>
    <w:rsid w:val="00450DF0"/>
    <w:rsid w:val="0045251E"/>
    <w:rsid w:val="00452D0F"/>
    <w:rsid w:val="00462425"/>
    <w:rsid w:val="0046520C"/>
    <w:rsid w:val="00467BF8"/>
    <w:rsid w:val="00470A9C"/>
    <w:rsid w:val="0047203B"/>
    <w:rsid w:val="00473D93"/>
    <w:rsid w:val="00480367"/>
    <w:rsid w:val="00482035"/>
    <w:rsid w:val="004821E5"/>
    <w:rsid w:val="00483530"/>
    <w:rsid w:val="004851BA"/>
    <w:rsid w:val="00485F7B"/>
    <w:rsid w:val="0049044C"/>
    <w:rsid w:val="00490F4E"/>
    <w:rsid w:val="00491CBE"/>
    <w:rsid w:val="00492DC2"/>
    <w:rsid w:val="00497ACC"/>
    <w:rsid w:val="004A285B"/>
    <w:rsid w:val="004A391F"/>
    <w:rsid w:val="004A4054"/>
    <w:rsid w:val="004A6EDC"/>
    <w:rsid w:val="004B060B"/>
    <w:rsid w:val="004B4AB2"/>
    <w:rsid w:val="004B7606"/>
    <w:rsid w:val="004C101C"/>
    <w:rsid w:val="004C4C04"/>
    <w:rsid w:val="004C79DF"/>
    <w:rsid w:val="004D11BF"/>
    <w:rsid w:val="004D2F45"/>
    <w:rsid w:val="004D39A9"/>
    <w:rsid w:val="004D4199"/>
    <w:rsid w:val="004E4314"/>
    <w:rsid w:val="004E57AE"/>
    <w:rsid w:val="004E5ED3"/>
    <w:rsid w:val="004E6F6A"/>
    <w:rsid w:val="004F2DA7"/>
    <w:rsid w:val="004F50D9"/>
    <w:rsid w:val="004F7E04"/>
    <w:rsid w:val="00503340"/>
    <w:rsid w:val="005041DB"/>
    <w:rsid w:val="0050492B"/>
    <w:rsid w:val="005075FC"/>
    <w:rsid w:val="005108BE"/>
    <w:rsid w:val="00511634"/>
    <w:rsid w:val="00511863"/>
    <w:rsid w:val="005118C5"/>
    <w:rsid w:val="00513F8C"/>
    <w:rsid w:val="0051463B"/>
    <w:rsid w:val="00520C93"/>
    <w:rsid w:val="005234DA"/>
    <w:rsid w:val="005244A7"/>
    <w:rsid w:val="005244C2"/>
    <w:rsid w:val="00525CD1"/>
    <w:rsid w:val="005268CC"/>
    <w:rsid w:val="0053296B"/>
    <w:rsid w:val="00533549"/>
    <w:rsid w:val="00534D90"/>
    <w:rsid w:val="0053514A"/>
    <w:rsid w:val="00540148"/>
    <w:rsid w:val="00551205"/>
    <w:rsid w:val="00551B34"/>
    <w:rsid w:val="005544E4"/>
    <w:rsid w:val="005556A6"/>
    <w:rsid w:val="0055730B"/>
    <w:rsid w:val="0056392A"/>
    <w:rsid w:val="00577DE4"/>
    <w:rsid w:val="00580A48"/>
    <w:rsid w:val="0058295F"/>
    <w:rsid w:val="00582B85"/>
    <w:rsid w:val="005838F1"/>
    <w:rsid w:val="005878E2"/>
    <w:rsid w:val="00591021"/>
    <w:rsid w:val="00594B4E"/>
    <w:rsid w:val="005A0349"/>
    <w:rsid w:val="005A09C4"/>
    <w:rsid w:val="005A7731"/>
    <w:rsid w:val="005B1A7C"/>
    <w:rsid w:val="005B303D"/>
    <w:rsid w:val="005B3062"/>
    <w:rsid w:val="005B3EBD"/>
    <w:rsid w:val="005B6D29"/>
    <w:rsid w:val="005C2941"/>
    <w:rsid w:val="005C33C5"/>
    <w:rsid w:val="005C3BEA"/>
    <w:rsid w:val="005C46B4"/>
    <w:rsid w:val="005D6E68"/>
    <w:rsid w:val="005E0265"/>
    <w:rsid w:val="005E3A3E"/>
    <w:rsid w:val="005E4FF2"/>
    <w:rsid w:val="005E62D0"/>
    <w:rsid w:val="005F4438"/>
    <w:rsid w:val="00601873"/>
    <w:rsid w:val="00602587"/>
    <w:rsid w:val="0060269B"/>
    <w:rsid w:val="006050E4"/>
    <w:rsid w:val="00612D21"/>
    <w:rsid w:val="0062019D"/>
    <w:rsid w:val="00623029"/>
    <w:rsid w:val="0062521C"/>
    <w:rsid w:val="006252FA"/>
    <w:rsid w:val="00634447"/>
    <w:rsid w:val="00634D32"/>
    <w:rsid w:val="0063719E"/>
    <w:rsid w:val="00642363"/>
    <w:rsid w:val="00642E25"/>
    <w:rsid w:val="006513B8"/>
    <w:rsid w:val="0065263F"/>
    <w:rsid w:val="0065472F"/>
    <w:rsid w:val="006576C3"/>
    <w:rsid w:val="00662AED"/>
    <w:rsid w:val="00662F78"/>
    <w:rsid w:val="006630D9"/>
    <w:rsid w:val="0066396A"/>
    <w:rsid w:val="0067243E"/>
    <w:rsid w:val="006755A8"/>
    <w:rsid w:val="006801C9"/>
    <w:rsid w:val="00682410"/>
    <w:rsid w:val="00682485"/>
    <w:rsid w:val="0069128A"/>
    <w:rsid w:val="00692B95"/>
    <w:rsid w:val="00693071"/>
    <w:rsid w:val="00695B51"/>
    <w:rsid w:val="006A01FF"/>
    <w:rsid w:val="006A024D"/>
    <w:rsid w:val="006A0CE8"/>
    <w:rsid w:val="006A47C5"/>
    <w:rsid w:val="006A53AB"/>
    <w:rsid w:val="006A6207"/>
    <w:rsid w:val="006B3995"/>
    <w:rsid w:val="006B7F98"/>
    <w:rsid w:val="006C0663"/>
    <w:rsid w:val="006C0D11"/>
    <w:rsid w:val="006C18B8"/>
    <w:rsid w:val="006C1A6A"/>
    <w:rsid w:val="006C2220"/>
    <w:rsid w:val="006C39C2"/>
    <w:rsid w:val="006C6149"/>
    <w:rsid w:val="006C7EEA"/>
    <w:rsid w:val="006D29C6"/>
    <w:rsid w:val="006D4417"/>
    <w:rsid w:val="006D4537"/>
    <w:rsid w:val="006D4ADF"/>
    <w:rsid w:val="006D6A4C"/>
    <w:rsid w:val="006E394D"/>
    <w:rsid w:val="006E43CF"/>
    <w:rsid w:val="006F45EE"/>
    <w:rsid w:val="006F7A17"/>
    <w:rsid w:val="00704B18"/>
    <w:rsid w:val="00711289"/>
    <w:rsid w:val="007148DB"/>
    <w:rsid w:val="0071528C"/>
    <w:rsid w:val="00720A14"/>
    <w:rsid w:val="00720DF1"/>
    <w:rsid w:val="00723779"/>
    <w:rsid w:val="0072776D"/>
    <w:rsid w:val="00727C19"/>
    <w:rsid w:val="007303A5"/>
    <w:rsid w:val="00730465"/>
    <w:rsid w:val="00730C56"/>
    <w:rsid w:val="00732393"/>
    <w:rsid w:val="00736A13"/>
    <w:rsid w:val="00741A6E"/>
    <w:rsid w:val="00750042"/>
    <w:rsid w:val="00753912"/>
    <w:rsid w:val="00757462"/>
    <w:rsid w:val="00761E65"/>
    <w:rsid w:val="00764A9B"/>
    <w:rsid w:val="00765B3C"/>
    <w:rsid w:val="00766B47"/>
    <w:rsid w:val="007708DC"/>
    <w:rsid w:val="00770BCF"/>
    <w:rsid w:val="007710ED"/>
    <w:rsid w:val="00771762"/>
    <w:rsid w:val="00772F48"/>
    <w:rsid w:val="0077330D"/>
    <w:rsid w:val="0077355F"/>
    <w:rsid w:val="00780CA0"/>
    <w:rsid w:val="00782214"/>
    <w:rsid w:val="00782820"/>
    <w:rsid w:val="00785402"/>
    <w:rsid w:val="00791C4A"/>
    <w:rsid w:val="00794493"/>
    <w:rsid w:val="007967F7"/>
    <w:rsid w:val="00796C9B"/>
    <w:rsid w:val="00797405"/>
    <w:rsid w:val="007A23AB"/>
    <w:rsid w:val="007A3F4B"/>
    <w:rsid w:val="007A7276"/>
    <w:rsid w:val="007A7BB0"/>
    <w:rsid w:val="007B155D"/>
    <w:rsid w:val="007B1A2C"/>
    <w:rsid w:val="007B2DB5"/>
    <w:rsid w:val="007B368C"/>
    <w:rsid w:val="007B7947"/>
    <w:rsid w:val="007C1D65"/>
    <w:rsid w:val="007C53C2"/>
    <w:rsid w:val="007D0D71"/>
    <w:rsid w:val="007D1F98"/>
    <w:rsid w:val="007D2686"/>
    <w:rsid w:val="007D7C2C"/>
    <w:rsid w:val="007E39A4"/>
    <w:rsid w:val="007E3A92"/>
    <w:rsid w:val="007E7B14"/>
    <w:rsid w:val="007F0B16"/>
    <w:rsid w:val="007F2387"/>
    <w:rsid w:val="007F3719"/>
    <w:rsid w:val="007F4938"/>
    <w:rsid w:val="007F5564"/>
    <w:rsid w:val="007F609D"/>
    <w:rsid w:val="007F7AC3"/>
    <w:rsid w:val="00812E94"/>
    <w:rsid w:val="008131AC"/>
    <w:rsid w:val="00813AD7"/>
    <w:rsid w:val="00821E62"/>
    <w:rsid w:val="00823140"/>
    <w:rsid w:val="0082477F"/>
    <w:rsid w:val="00826616"/>
    <w:rsid w:val="008272D4"/>
    <w:rsid w:val="008273F0"/>
    <w:rsid w:val="008278B2"/>
    <w:rsid w:val="00832736"/>
    <w:rsid w:val="0083344B"/>
    <w:rsid w:val="008414BF"/>
    <w:rsid w:val="00843935"/>
    <w:rsid w:val="00847929"/>
    <w:rsid w:val="00850511"/>
    <w:rsid w:val="00852AC2"/>
    <w:rsid w:val="00860BCA"/>
    <w:rsid w:val="0086344B"/>
    <w:rsid w:val="00863AA8"/>
    <w:rsid w:val="00870D2B"/>
    <w:rsid w:val="008723FA"/>
    <w:rsid w:val="008748AE"/>
    <w:rsid w:val="00875C7A"/>
    <w:rsid w:val="008762A4"/>
    <w:rsid w:val="0087773A"/>
    <w:rsid w:val="00884D29"/>
    <w:rsid w:val="00886302"/>
    <w:rsid w:val="00886497"/>
    <w:rsid w:val="00891A32"/>
    <w:rsid w:val="008B7598"/>
    <w:rsid w:val="008D11AF"/>
    <w:rsid w:val="008D1513"/>
    <w:rsid w:val="008D2899"/>
    <w:rsid w:val="008D3BA8"/>
    <w:rsid w:val="008D7535"/>
    <w:rsid w:val="008E022C"/>
    <w:rsid w:val="008E05AB"/>
    <w:rsid w:val="008E0BE5"/>
    <w:rsid w:val="008E1C0E"/>
    <w:rsid w:val="008E47D4"/>
    <w:rsid w:val="008E4937"/>
    <w:rsid w:val="008E5628"/>
    <w:rsid w:val="008E5780"/>
    <w:rsid w:val="008F0F96"/>
    <w:rsid w:val="008F26E9"/>
    <w:rsid w:val="008F35B4"/>
    <w:rsid w:val="008F414F"/>
    <w:rsid w:val="008F5BEA"/>
    <w:rsid w:val="00903265"/>
    <w:rsid w:val="00904FB0"/>
    <w:rsid w:val="00906716"/>
    <w:rsid w:val="00912A29"/>
    <w:rsid w:val="009173B7"/>
    <w:rsid w:val="00924821"/>
    <w:rsid w:val="00926515"/>
    <w:rsid w:val="00930DD8"/>
    <w:rsid w:val="00932085"/>
    <w:rsid w:val="009328B9"/>
    <w:rsid w:val="00933407"/>
    <w:rsid w:val="00936998"/>
    <w:rsid w:val="00940B91"/>
    <w:rsid w:val="00943057"/>
    <w:rsid w:val="00945406"/>
    <w:rsid w:val="00947727"/>
    <w:rsid w:val="0095024B"/>
    <w:rsid w:val="0095085C"/>
    <w:rsid w:val="0095164C"/>
    <w:rsid w:val="00954589"/>
    <w:rsid w:val="009556B3"/>
    <w:rsid w:val="00955854"/>
    <w:rsid w:val="00967A93"/>
    <w:rsid w:val="0097047E"/>
    <w:rsid w:val="00970E7C"/>
    <w:rsid w:val="009725AE"/>
    <w:rsid w:val="009737C7"/>
    <w:rsid w:val="00981075"/>
    <w:rsid w:val="009826C4"/>
    <w:rsid w:val="00985E0F"/>
    <w:rsid w:val="009911FE"/>
    <w:rsid w:val="0099349F"/>
    <w:rsid w:val="009935C2"/>
    <w:rsid w:val="00994892"/>
    <w:rsid w:val="009A5288"/>
    <w:rsid w:val="009A6B93"/>
    <w:rsid w:val="009B14C1"/>
    <w:rsid w:val="009B23F7"/>
    <w:rsid w:val="009B2F21"/>
    <w:rsid w:val="009B486E"/>
    <w:rsid w:val="009B6940"/>
    <w:rsid w:val="009B6C15"/>
    <w:rsid w:val="009C43DC"/>
    <w:rsid w:val="009C5E40"/>
    <w:rsid w:val="009C6E5A"/>
    <w:rsid w:val="009D007D"/>
    <w:rsid w:val="009D27B1"/>
    <w:rsid w:val="009D27D6"/>
    <w:rsid w:val="009E2CF7"/>
    <w:rsid w:val="009E5068"/>
    <w:rsid w:val="009E6BC3"/>
    <w:rsid w:val="009E6EAF"/>
    <w:rsid w:val="009F0E98"/>
    <w:rsid w:val="009F1C17"/>
    <w:rsid w:val="009F523B"/>
    <w:rsid w:val="009F589D"/>
    <w:rsid w:val="009F762A"/>
    <w:rsid w:val="00A102B2"/>
    <w:rsid w:val="00A108C1"/>
    <w:rsid w:val="00A14499"/>
    <w:rsid w:val="00A16932"/>
    <w:rsid w:val="00A2630E"/>
    <w:rsid w:val="00A34B43"/>
    <w:rsid w:val="00A353F4"/>
    <w:rsid w:val="00A36019"/>
    <w:rsid w:val="00A364DE"/>
    <w:rsid w:val="00A36C2A"/>
    <w:rsid w:val="00A42565"/>
    <w:rsid w:val="00A43EB6"/>
    <w:rsid w:val="00A44918"/>
    <w:rsid w:val="00A50A2C"/>
    <w:rsid w:val="00A51152"/>
    <w:rsid w:val="00A56AC4"/>
    <w:rsid w:val="00A60AB3"/>
    <w:rsid w:val="00A61BAD"/>
    <w:rsid w:val="00A627B3"/>
    <w:rsid w:val="00A64906"/>
    <w:rsid w:val="00A668C5"/>
    <w:rsid w:val="00A6778D"/>
    <w:rsid w:val="00A70B95"/>
    <w:rsid w:val="00A71C27"/>
    <w:rsid w:val="00A76CB6"/>
    <w:rsid w:val="00A85217"/>
    <w:rsid w:val="00A87042"/>
    <w:rsid w:val="00A92C60"/>
    <w:rsid w:val="00A95B51"/>
    <w:rsid w:val="00AA31AB"/>
    <w:rsid w:val="00AA6BBC"/>
    <w:rsid w:val="00AB242A"/>
    <w:rsid w:val="00AC1D52"/>
    <w:rsid w:val="00AC48E7"/>
    <w:rsid w:val="00AC62A9"/>
    <w:rsid w:val="00AD00ED"/>
    <w:rsid w:val="00AD037B"/>
    <w:rsid w:val="00AD1EBE"/>
    <w:rsid w:val="00AD23CE"/>
    <w:rsid w:val="00AD304D"/>
    <w:rsid w:val="00AD5DD0"/>
    <w:rsid w:val="00AD6A7C"/>
    <w:rsid w:val="00AD6E4C"/>
    <w:rsid w:val="00AD7382"/>
    <w:rsid w:val="00AE2544"/>
    <w:rsid w:val="00AF2B13"/>
    <w:rsid w:val="00AF6861"/>
    <w:rsid w:val="00B0070A"/>
    <w:rsid w:val="00B1136C"/>
    <w:rsid w:val="00B11430"/>
    <w:rsid w:val="00B14778"/>
    <w:rsid w:val="00B15B2C"/>
    <w:rsid w:val="00B22D27"/>
    <w:rsid w:val="00B23548"/>
    <w:rsid w:val="00B2534C"/>
    <w:rsid w:val="00B26F5E"/>
    <w:rsid w:val="00B273CF"/>
    <w:rsid w:val="00B321BC"/>
    <w:rsid w:val="00B338C0"/>
    <w:rsid w:val="00B45B9A"/>
    <w:rsid w:val="00B464EA"/>
    <w:rsid w:val="00B47AE5"/>
    <w:rsid w:val="00B513AC"/>
    <w:rsid w:val="00B54A09"/>
    <w:rsid w:val="00B60821"/>
    <w:rsid w:val="00B63A3C"/>
    <w:rsid w:val="00B70254"/>
    <w:rsid w:val="00B7078E"/>
    <w:rsid w:val="00B7539D"/>
    <w:rsid w:val="00B77E3F"/>
    <w:rsid w:val="00B83049"/>
    <w:rsid w:val="00B833F6"/>
    <w:rsid w:val="00B85236"/>
    <w:rsid w:val="00B9043A"/>
    <w:rsid w:val="00B92C53"/>
    <w:rsid w:val="00B937F1"/>
    <w:rsid w:val="00B938CC"/>
    <w:rsid w:val="00B94B21"/>
    <w:rsid w:val="00B95925"/>
    <w:rsid w:val="00BA154A"/>
    <w:rsid w:val="00BA286E"/>
    <w:rsid w:val="00BA5875"/>
    <w:rsid w:val="00BA60C7"/>
    <w:rsid w:val="00BB0A0C"/>
    <w:rsid w:val="00BB18D2"/>
    <w:rsid w:val="00BB2238"/>
    <w:rsid w:val="00BC0325"/>
    <w:rsid w:val="00BD5EF4"/>
    <w:rsid w:val="00BE0537"/>
    <w:rsid w:val="00BE1B78"/>
    <w:rsid w:val="00BE2B08"/>
    <w:rsid w:val="00BE304A"/>
    <w:rsid w:val="00BE3B6E"/>
    <w:rsid w:val="00BF31B5"/>
    <w:rsid w:val="00BF4B3A"/>
    <w:rsid w:val="00BF6C78"/>
    <w:rsid w:val="00C01698"/>
    <w:rsid w:val="00C11591"/>
    <w:rsid w:val="00C1235A"/>
    <w:rsid w:val="00C127B9"/>
    <w:rsid w:val="00C13839"/>
    <w:rsid w:val="00C14EFC"/>
    <w:rsid w:val="00C16211"/>
    <w:rsid w:val="00C17169"/>
    <w:rsid w:val="00C17F6A"/>
    <w:rsid w:val="00C20199"/>
    <w:rsid w:val="00C207D6"/>
    <w:rsid w:val="00C212A3"/>
    <w:rsid w:val="00C22D1A"/>
    <w:rsid w:val="00C26973"/>
    <w:rsid w:val="00C270A0"/>
    <w:rsid w:val="00C300A1"/>
    <w:rsid w:val="00C3610E"/>
    <w:rsid w:val="00C36508"/>
    <w:rsid w:val="00C37CBD"/>
    <w:rsid w:val="00C40A30"/>
    <w:rsid w:val="00C44706"/>
    <w:rsid w:val="00C448FB"/>
    <w:rsid w:val="00C44B30"/>
    <w:rsid w:val="00C450F5"/>
    <w:rsid w:val="00C47453"/>
    <w:rsid w:val="00C504AC"/>
    <w:rsid w:val="00C51C85"/>
    <w:rsid w:val="00C51CF2"/>
    <w:rsid w:val="00C5250C"/>
    <w:rsid w:val="00C559CF"/>
    <w:rsid w:val="00C57A04"/>
    <w:rsid w:val="00C6222D"/>
    <w:rsid w:val="00C65621"/>
    <w:rsid w:val="00C721A2"/>
    <w:rsid w:val="00C73086"/>
    <w:rsid w:val="00C80641"/>
    <w:rsid w:val="00C81083"/>
    <w:rsid w:val="00CA2165"/>
    <w:rsid w:val="00CA5B4E"/>
    <w:rsid w:val="00CA6296"/>
    <w:rsid w:val="00CA7822"/>
    <w:rsid w:val="00CA7A6C"/>
    <w:rsid w:val="00CB113C"/>
    <w:rsid w:val="00CB5A98"/>
    <w:rsid w:val="00CB697B"/>
    <w:rsid w:val="00CB772B"/>
    <w:rsid w:val="00CC181D"/>
    <w:rsid w:val="00CC2190"/>
    <w:rsid w:val="00CC2984"/>
    <w:rsid w:val="00CC47FE"/>
    <w:rsid w:val="00CD2EA5"/>
    <w:rsid w:val="00CD6DE7"/>
    <w:rsid w:val="00CE1379"/>
    <w:rsid w:val="00CE1406"/>
    <w:rsid w:val="00CE7C60"/>
    <w:rsid w:val="00CF0BD3"/>
    <w:rsid w:val="00CF13FA"/>
    <w:rsid w:val="00CF2852"/>
    <w:rsid w:val="00CF3B3F"/>
    <w:rsid w:val="00CF74A2"/>
    <w:rsid w:val="00D003A7"/>
    <w:rsid w:val="00D01251"/>
    <w:rsid w:val="00D02E00"/>
    <w:rsid w:val="00D04246"/>
    <w:rsid w:val="00D0499E"/>
    <w:rsid w:val="00D05E84"/>
    <w:rsid w:val="00D07FF3"/>
    <w:rsid w:val="00D10C3D"/>
    <w:rsid w:val="00D14996"/>
    <w:rsid w:val="00D16754"/>
    <w:rsid w:val="00D2465A"/>
    <w:rsid w:val="00D31F41"/>
    <w:rsid w:val="00D33267"/>
    <w:rsid w:val="00D45AD6"/>
    <w:rsid w:val="00D474DF"/>
    <w:rsid w:val="00D5649D"/>
    <w:rsid w:val="00D60BCD"/>
    <w:rsid w:val="00D61C9C"/>
    <w:rsid w:val="00D703EF"/>
    <w:rsid w:val="00D7103E"/>
    <w:rsid w:val="00D83987"/>
    <w:rsid w:val="00D84C0C"/>
    <w:rsid w:val="00D864DC"/>
    <w:rsid w:val="00D871B7"/>
    <w:rsid w:val="00D90986"/>
    <w:rsid w:val="00D92C24"/>
    <w:rsid w:val="00D93036"/>
    <w:rsid w:val="00D9568C"/>
    <w:rsid w:val="00DA2114"/>
    <w:rsid w:val="00DA22D0"/>
    <w:rsid w:val="00DA6FC8"/>
    <w:rsid w:val="00DB357D"/>
    <w:rsid w:val="00DB6C03"/>
    <w:rsid w:val="00DC1EBB"/>
    <w:rsid w:val="00DC2936"/>
    <w:rsid w:val="00DD152D"/>
    <w:rsid w:val="00DD3891"/>
    <w:rsid w:val="00DD53DF"/>
    <w:rsid w:val="00DD7F7D"/>
    <w:rsid w:val="00DE3595"/>
    <w:rsid w:val="00DE6AFA"/>
    <w:rsid w:val="00DF0FC6"/>
    <w:rsid w:val="00DF21CB"/>
    <w:rsid w:val="00DF4BF9"/>
    <w:rsid w:val="00DF571E"/>
    <w:rsid w:val="00E0138D"/>
    <w:rsid w:val="00E03D9B"/>
    <w:rsid w:val="00E042E0"/>
    <w:rsid w:val="00E04BE6"/>
    <w:rsid w:val="00E10BE9"/>
    <w:rsid w:val="00E151A8"/>
    <w:rsid w:val="00E15935"/>
    <w:rsid w:val="00E206EA"/>
    <w:rsid w:val="00E2163D"/>
    <w:rsid w:val="00E22543"/>
    <w:rsid w:val="00E22CE6"/>
    <w:rsid w:val="00E236DB"/>
    <w:rsid w:val="00E24101"/>
    <w:rsid w:val="00E30885"/>
    <w:rsid w:val="00E34C25"/>
    <w:rsid w:val="00E356BD"/>
    <w:rsid w:val="00E46535"/>
    <w:rsid w:val="00E51F6F"/>
    <w:rsid w:val="00E57095"/>
    <w:rsid w:val="00E60F43"/>
    <w:rsid w:val="00E60FC7"/>
    <w:rsid w:val="00E74402"/>
    <w:rsid w:val="00E80B76"/>
    <w:rsid w:val="00E82F69"/>
    <w:rsid w:val="00E862B4"/>
    <w:rsid w:val="00E91406"/>
    <w:rsid w:val="00E918D8"/>
    <w:rsid w:val="00E94E5D"/>
    <w:rsid w:val="00E9538C"/>
    <w:rsid w:val="00EA3FCA"/>
    <w:rsid w:val="00EA7CA2"/>
    <w:rsid w:val="00EB0FA3"/>
    <w:rsid w:val="00EB56BF"/>
    <w:rsid w:val="00EC1B02"/>
    <w:rsid w:val="00EC3A8F"/>
    <w:rsid w:val="00EC584F"/>
    <w:rsid w:val="00EC61EA"/>
    <w:rsid w:val="00ED04E1"/>
    <w:rsid w:val="00ED0DE4"/>
    <w:rsid w:val="00ED1D64"/>
    <w:rsid w:val="00EE161C"/>
    <w:rsid w:val="00EE2CC4"/>
    <w:rsid w:val="00EE3BDE"/>
    <w:rsid w:val="00EE4869"/>
    <w:rsid w:val="00EF28E3"/>
    <w:rsid w:val="00EF3CA2"/>
    <w:rsid w:val="00F01BBA"/>
    <w:rsid w:val="00F02444"/>
    <w:rsid w:val="00F0363C"/>
    <w:rsid w:val="00F03931"/>
    <w:rsid w:val="00F056C8"/>
    <w:rsid w:val="00F059BB"/>
    <w:rsid w:val="00F150F2"/>
    <w:rsid w:val="00F211D4"/>
    <w:rsid w:val="00F214C9"/>
    <w:rsid w:val="00F2194F"/>
    <w:rsid w:val="00F25B3B"/>
    <w:rsid w:val="00F35F8B"/>
    <w:rsid w:val="00F367D3"/>
    <w:rsid w:val="00F43CAA"/>
    <w:rsid w:val="00F44230"/>
    <w:rsid w:val="00F47538"/>
    <w:rsid w:val="00F55658"/>
    <w:rsid w:val="00F606E3"/>
    <w:rsid w:val="00F614B2"/>
    <w:rsid w:val="00F62567"/>
    <w:rsid w:val="00F63D77"/>
    <w:rsid w:val="00F71A45"/>
    <w:rsid w:val="00F7441D"/>
    <w:rsid w:val="00F7585E"/>
    <w:rsid w:val="00F84BA3"/>
    <w:rsid w:val="00F859E3"/>
    <w:rsid w:val="00F8618A"/>
    <w:rsid w:val="00F87C0D"/>
    <w:rsid w:val="00F90981"/>
    <w:rsid w:val="00F90F0B"/>
    <w:rsid w:val="00F90F6F"/>
    <w:rsid w:val="00F966BA"/>
    <w:rsid w:val="00FA304C"/>
    <w:rsid w:val="00FA6B1E"/>
    <w:rsid w:val="00FB5024"/>
    <w:rsid w:val="00FC5B30"/>
    <w:rsid w:val="00FC616A"/>
    <w:rsid w:val="00FD0DA8"/>
    <w:rsid w:val="00FD5486"/>
    <w:rsid w:val="00FD5F49"/>
    <w:rsid w:val="00FE1FAF"/>
    <w:rsid w:val="00FE634E"/>
    <w:rsid w:val="00FE68E0"/>
    <w:rsid w:val="00FF1931"/>
    <w:rsid w:val="00FF6F9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D39A31"/>
  <w15:docId w15:val="{B0967015-8307-482D-83CD-2A9795F93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BC2"/>
    <w:pPr>
      <w:overflowPunct w:val="0"/>
      <w:autoSpaceDE w:val="0"/>
      <w:autoSpaceDN w:val="0"/>
      <w:adjustRightInd w:val="0"/>
      <w:textAlignment w:val="baseline"/>
    </w:pPr>
    <w:rPr>
      <w:rFonts w:ascii="Times New Roman" w:eastAsia="Times New Roman" w:hAnsi="Tms Rmn" w:cs="Angsana New"/>
      <w:sz w:val="24"/>
      <w:szCs w:val="24"/>
    </w:rPr>
  </w:style>
  <w:style w:type="paragraph" w:styleId="Heading4">
    <w:name w:val="heading 4"/>
    <w:basedOn w:val="Normal"/>
    <w:next w:val="Normal"/>
    <w:link w:val="Heading4Char"/>
    <w:qFormat/>
    <w:rsid w:val="00347BC2"/>
    <w:pPr>
      <w:keepNext/>
      <w:tabs>
        <w:tab w:val="right" w:pos="7200"/>
        <w:tab w:val="right" w:pos="8540"/>
      </w:tabs>
      <w:spacing w:after="120" w:line="380" w:lineRule="exact"/>
      <w:jc w:val="center"/>
      <w:outlineLvl w:val="3"/>
    </w:pPr>
    <w:rPr>
      <w:rFonts w:ascii="Angsana New" w:hAnsi="Angsana New"/>
      <w:sz w:val="34"/>
      <w:szCs w:val="34"/>
    </w:rPr>
  </w:style>
  <w:style w:type="paragraph" w:styleId="Heading5">
    <w:name w:val="heading 5"/>
    <w:basedOn w:val="Normal"/>
    <w:next w:val="Normal"/>
    <w:link w:val="Heading5Char"/>
    <w:uiPriority w:val="99"/>
    <w:qFormat/>
    <w:rsid w:val="00772F48"/>
    <w:pPr>
      <w:keepNext/>
      <w:overflowPunct/>
      <w:autoSpaceDE/>
      <w:autoSpaceDN/>
      <w:adjustRightInd/>
      <w:jc w:val="center"/>
      <w:textAlignment w:val="auto"/>
      <w:outlineLvl w:val="4"/>
    </w:pPr>
    <w:rPr>
      <w:rFonts w:ascii="Calibri" w:hAnsi="Calibri"/>
      <w:b/>
      <w:bCs/>
      <w:i/>
      <w:iCs/>
      <w:sz w:val="33"/>
      <w:szCs w:val="33"/>
      <w:lang w:val="x-none" w:eastAsia="x-none"/>
    </w:rPr>
  </w:style>
  <w:style w:type="paragraph" w:styleId="Heading8">
    <w:name w:val="heading 8"/>
    <w:basedOn w:val="Normal"/>
    <w:next w:val="Normal"/>
    <w:link w:val="Heading8Char"/>
    <w:qFormat/>
    <w:rsid w:val="00347BC2"/>
    <w:pPr>
      <w:keepNext/>
      <w:spacing w:line="340" w:lineRule="exact"/>
      <w:jc w:val="both"/>
      <w:outlineLvl w:val="7"/>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347BC2"/>
    <w:rPr>
      <w:rFonts w:ascii="Angsana New" w:eastAsia="Times New Roman" w:hAnsi="Angsana New" w:cs="Angsana New"/>
      <w:sz w:val="34"/>
      <w:szCs w:val="34"/>
    </w:rPr>
  </w:style>
  <w:style w:type="character" w:customStyle="1" w:styleId="Heading8Char">
    <w:name w:val="Heading 8 Char"/>
    <w:link w:val="Heading8"/>
    <w:rsid w:val="00347BC2"/>
    <w:rPr>
      <w:rFonts w:ascii="Angsana New" w:eastAsia="Times New Roman" w:hAnsi="Angsana New" w:cs="Angsana New"/>
      <w:sz w:val="32"/>
      <w:szCs w:val="32"/>
    </w:rPr>
  </w:style>
  <w:style w:type="paragraph" w:styleId="Footer">
    <w:name w:val="footer"/>
    <w:basedOn w:val="Normal"/>
    <w:link w:val="FooterChar"/>
    <w:uiPriority w:val="99"/>
    <w:rsid w:val="00347BC2"/>
    <w:pPr>
      <w:tabs>
        <w:tab w:val="center" w:pos="4153"/>
        <w:tab w:val="right" w:pos="8306"/>
      </w:tabs>
    </w:pPr>
  </w:style>
  <w:style w:type="character" w:customStyle="1" w:styleId="FooterChar">
    <w:name w:val="Footer Char"/>
    <w:link w:val="Footer"/>
    <w:uiPriority w:val="99"/>
    <w:rsid w:val="00347BC2"/>
    <w:rPr>
      <w:rFonts w:ascii="Times New Roman" w:eastAsia="Times New Roman" w:hAnsi="Tms Rmn" w:cs="Angsana New"/>
      <w:sz w:val="24"/>
      <w:szCs w:val="24"/>
    </w:rPr>
  </w:style>
  <w:style w:type="character" w:styleId="PageNumber">
    <w:name w:val="page number"/>
    <w:basedOn w:val="DefaultParagraphFont"/>
    <w:rsid w:val="00347BC2"/>
  </w:style>
  <w:style w:type="paragraph" w:styleId="Header">
    <w:name w:val="header"/>
    <w:basedOn w:val="Normal"/>
    <w:link w:val="HeaderChar"/>
    <w:rsid w:val="00347BC2"/>
    <w:pPr>
      <w:tabs>
        <w:tab w:val="center" w:pos="4153"/>
        <w:tab w:val="right" w:pos="8306"/>
      </w:tabs>
    </w:pPr>
  </w:style>
  <w:style w:type="character" w:customStyle="1" w:styleId="HeaderChar">
    <w:name w:val="Header Char"/>
    <w:link w:val="Header"/>
    <w:rsid w:val="00347BC2"/>
    <w:rPr>
      <w:rFonts w:ascii="Times New Roman" w:eastAsia="Times New Roman" w:hAnsi="Tms Rmn" w:cs="Angsana New"/>
      <w:sz w:val="24"/>
      <w:szCs w:val="24"/>
    </w:rPr>
  </w:style>
  <w:style w:type="paragraph" w:styleId="BodyTextIndent2">
    <w:name w:val="Body Text Indent 2"/>
    <w:basedOn w:val="Normal"/>
    <w:link w:val="BodyTextIndent2Char"/>
    <w:rsid w:val="00347BC2"/>
    <w:pPr>
      <w:tabs>
        <w:tab w:val="left" w:pos="360"/>
        <w:tab w:val="left" w:pos="2160"/>
        <w:tab w:val="right" w:pos="8540"/>
      </w:tabs>
      <w:spacing w:before="120" w:after="120" w:line="380" w:lineRule="exact"/>
      <w:ind w:left="900" w:hanging="900"/>
      <w:jc w:val="both"/>
    </w:pPr>
    <w:rPr>
      <w:rFonts w:ascii="Angsana New" w:hAnsi="Angsana New"/>
      <w:sz w:val="34"/>
      <w:szCs w:val="34"/>
    </w:rPr>
  </w:style>
  <w:style w:type="character" w:customStyle="1" w:styleId="BodyTextIndent2Char">
    <w:name w:val="Body Text Indent 2 Char"/>
    <w:link w:val="BodyTextIndent2"/>
    <w:rsid w:val="00347BC2"/>
    <w:rPr>
      <w:rFonts w:ascii="Angsana New" w:eastAsia="Times New Roman" w:hAnsi="Angsana New" w:cs="Angsana New"/>
      <w:sz w:val="34"/>
      <w:szCs w:val="34"/>
    </w:rPr>
  </w:style>
  <w:style w:type="table" w:styleId="TableGrid">
    <w:name w:val="Table Grid"/>
    <w:basedOn w:val="TableNormal"/>
    <w:uiPriority w:val="59"/>
    <w:rsid w:val="00347BC2"/>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347BC2"/>
    <w:pPr>
      <w:spacing w:after="120"/>
      <w:ind w:left="283"/>
    </w:pPr>
    <w:rPr>
      <w:sz w:val="16"/>
      <w:szCs w:val="18"/>
    </w:rPr>
  </w:style>
  <w:style w:type="character" w:customStyle="1" w:styleId="BodyTextIndent3Char">
    <w:name w:val="Body Text Indent 3 Char"/>
    <w:link w:val="BodyTextIndent3"/>
    <w:rsid w:val="00347BC2"/>
    <w:rPr>
      <w:rFonts w:ascii="Times New Roman" w:eastAsia="Times New Roman" w:hAnsi="Tms Rmn" w:cs="Angsana New"/>
      <w:sz w:val="16"/>
      <w:szCs w:val="18"/>
    </w:rPr>
  </w:style>
  <w:style w:type="paragraph" w:styleId="ListParagraph">
    <w:name w:val="List Paragraph"/>
    <w:basedOn w:val="Normal"/>
    <w:uiPriority w:val="34"/>
    <w:qFormat/>
    <w:rsid w:val="00347BC2"/>
    <w:pPr>
      <w:ind w:left="720"/>
      <w:contextualSpacing/>
    </w:pPr>
    <w:rPr>
      <w:szCs w:val="30"/>
    </w:rPr>
  </w:style>
  <w:style w:type="paragraph" w:styleId="BalloonText">
    <w:name w:val="Balloon Text"/>
    <w:basedOn w:val="Normal"/>
    <w:link w:val="BalloonTextChar"/>
    <w:uiPriority w:val="99"/>
    <w:semiHidden/>
    <w:unhideWhenUsed/>
    <w:rsid w:val="006F7A17"/>
    <w:rPr>
      <w:rFonts w:ascii="Segoe UI" w:hAnsi="Segoe UI"/>
      <w:sz w:val="18"/>
      <w:szCs w:val="22"/>
    </w:rPr>
  </w:style>
  <w:style w:type="character" w:customStyle="1" w:styleId="BalloonTextChar">
    <w:name w:val="Balloon Text Char"/>
    <w:link w:val="BalloonText"/>
    <w:uiPriority w:val="99"/>
    <w:semiHidden/>
    <w:rsid w:val="006F7A17"/>
    <w:rPr>
      <w:rFonts w:ascii="Segoe UI" w:eastAsia="Times New Roman" w:hAnsi="Segoe UI" w:cs="Angsana New"/>
      <w:sz w:val="18"/>
      <w:szCs w:val="22"/>
    </w:rPr>
  </w:style>
  <w:style w:type="paragraph" w:styleId="NoSpacing">
    <w:name w:val="No Spacing"/>
    <w:uiPriority w:val="1"/>
    <w:qFormat/>
    <w:rsid w:val="005E0265"/>
    <w:pPr>
      <w:overflowPunct w:val="0"/>
      <w:autoSpaceDE w:val="0"/>
      <w:autoSpaceDN w:val="0"/>
      <w:adjustRightInd w:val="0"/>
      <w:textAlignment w:val="baseline"/>
    </w:pPr>
    <w:rPr>
      <w:rFonts w:ascii="Times New Roman" w:eastAsia="Times New Roman" w:hAnsi="Tms Rmn" w:cs="Angsana New"/>
      <w:sz w:val="24"/>
      <w:szCs w:val="30"/>
    </w:rPr>
  </w:style>
  <w:style w:type="table" w:customStyle="1" w:styleId="TableGrid1">
    <w:name w:val="Table Grid1"/>
    <w:basedOn w:val="TableNormal"/>
    <w:next w:val="TableGrid"/>
    <w:uiPriority w:val="59"/>
    <w:rsid w:val="007303A5"/>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9"/>
    <w:rsid w:val="00772F48"/>
    <w:rPr>
      <w:rFonts w:eastAsia="Times New Roman" w:cs="Angsana New"/>
      <w:b/>
      <w:bCs/>
      <w:i/>
      <w:iCs/>
      <w:sz w:val="33"/>
      <w:szCs w:val="33"/>
      <w:lang w:val="x-none" w:eastAsia="x-none"/>
    </w:rPr>
  </w:style>
  <w:style w:type="paragraph" w:styleId="BodyTextIndent">
    <w:name w:val="Body Text Indent"/>
    <w:basedOn w:val="Normal"/>
    <w:link w:val="BodyTextIndentChar"/>
    <w:uiPriority w:val="99"/>
    <w:unhideWhenUsed/>
    <w:rsid w:val="00720DF1"/>
    <w:pPr>
      <w:spacing w:after="120"/>
      <w:ind w:left="360"/>
    </w:pPr>
    <w:rPr>
      <w:szCs w:val="30"/>
    </w:rPr>
  </w:style>
  <w:style w:type="character" w:customStyle="1" w:styleId="BodyTextIndentChar">
    <w:name w:val="Body Text Indent Char"/>
    <w:basedOn w:val="DefaultParagraphFont"/>
    <w:link w:val="BodyTextIndent"/>
    <w:uiPriority w:val="99"/>
    <w:rsid w:val="00720DF1"/>
    <w:rPr>
      <w:rFonts w:ascii="Times New Roman" w:eastAsia="Times New Roman" w:hAnsi="Tms Rmn" w:cs="Angsana New"/>
      <w:sz w:val="24"/>
      <w:szCs w:val="30"/>
    </w:rPr>
  </w:style>
  <w:style w:type="paragraph" w:styleId="Subtitle">
    <w:name w:val="Subtitle"/>
    <w:basedOn w:val="Normal"/>
    <w:link w:val="SubtitleChar"/>
    <w:qFormat/>
    <w:rsid w:val="007967F7"/>
    <w:pPr>
      <w:spacing w:after="60"/>
      <w:jc w:val="center"/>
    </w:pPr>
    <w:rPr>
      <w:i/>
      <w:iCs/>
      <w:szCs w:val="28"/>
    </w:rPr>
  </w:style>
  <w:style w:type="character" w:customStyle="1" w:styleId="SubtitleChar">
    <w:name w:val="Subtitle Char"/>
    <w:basedOn w:val="DefaultParagraphFont"/>
    <w:link w:val="Subtitle"/>
    <w:rsid w:val="007967F7"/>
    <w:rPr>
      <w:rFonts w:ascii="Times New Roman" w:eastAsia="Times New Roman" w:hAnsi="Tms Rmn" w:cs="Angsana New"/>
      <w:i/>
      <w:iCs/>
      <w:sz w:val="24"/>
      <w:szCs w:val="28"/>
    </w:rPr>
  </w:style>
  <w:style w:type="character" w:styleId="FollowedHyperlink">
    <w:name w:val="FollowedHyperlink"/>
    <w:basedOn w:val="DefaultParagraphFont"/>
    <w:uiPriority w:val="99"/>
    <w:semiHidden/>
    <w:unhideWhenUsed/>
    <w:rsid w:val="00175512"/>
    <w:rPr>
      <w:color w:val="954F72"/>
      <w:u w:val="single"/>
    </w:rPr>
  </w:style>
  <w:style w:type="paragraph" w:customStyle="1" w:styleId="paragraph">
    <w:name w:val="paragraph"/>
    <w:basedOn w:val="Normal"/>
    <w:rsid w:val="00175512"/>
    <w:pPr>
      <w:overflowPunct/>
      <w:autoSpaceDE/>
      <w:autoSpaceDN/>
      <w:adjustRightInd/>
      <w:spacing w:before="100" w:beforeAutospacing="1" w:after="100" w:afterAutospacing="1"/>
      <w:textAlignment w:val="auto"/>
    </w:pPr>
    <w:rPr>
      <w:rFonts w:ascii="Calibri" w:eastAsiaTheme="minorHAnsi" w:hAnsi="Calibri" w:cs="Calibri"/>
      <w:sz w:val="22"/>
      <w:szCs w:val="22"/>
    </w:rPr>
  </w:style>
  <w:style w:type="character" w:customStyle="1" w:styleId="normaltextrun">
    <w:name w:val="normaltextrun"/>
    <w:basedOn w:val="DefaultParagraphFont"/>
    <w:rsid w:val="00175512"/>
  </w:style>
  <w:style w:type="character" w:customStyle="1" w:styleId="eop">
    <w:name w:val="eop"/>
    <w:basedOn w:val="DefaultParagraphFont"/>
    <w:rsid w:val="00175512"/>
  </w:style>
  <w:style w:type="character" w:styleId="CommentReference">
    <w:name w:val="annotation reference"/>
    <w:basedOn w:val="DefaultParagraphFont"/>
    <w:uiPriority w:val="99"/>
    <w:semiHidden/>
    <w:unhideWhenUsed/>
    <w:rsid w:val="00264AA9"/>
    <w:rPr>
      <w:sz w:val="16"/>
      <w:szCs w:val="16"/>
    </w:rPr>
  </w:style>
  <w:style w:type="paragraph" w:styleId="CommentText">
    <w:name w:val="annotation text"/>
    <w:basedOn w:val="Normal"/>
    <w:link w:val="CommentTextChar"/>
    <w:uiPriority w:val="99"/>
    <w:unhideWhenUsed/>
    <w:rsid w:val="00264AA9"/>
    <w:rPr>
      <w:sz w:val="20"/>
      <w:szCs w:val="25"/>
    </w:rPr>
  </w:style>
  <w:style w:type="character" w:customStyle="1" w:styleId="CommentTextChar">
    <w:name w:val="Comment Text Char"/>
    <w:basedOn w:val="DefaultParagraphFont"/>
    <w:link w:val="CommentText"/>
    <w:uiPriority w:val="99"/>
    <w:rsid w:val="00264AA9"/>
    <w:rPr>
      <w:rFonts w:ascii="Times New Roman" w:eastAsia="Times New Roman" w:hAnsi="Tms Rmn" w:cs="Angsana New"/>
      <w:szCs w:val="25"/>
    </w:rPr>
  </w:style>
  <w:style w:type="paragraph" w:styleId="CommentSubject">
    <w:name w:val="annotation subject"/>
    <w:basedOn w:val="CommentText"/>
    <w:next w:val="CommentText"/>
    <w:link w:val="CommentSubjectChar"/>
    <w:uiPriority w:val="99"/>
    <w:semiHidden/>
    <w:unhideWhenUsed/>
    <w:rsid w:val="00662F78"/>
    <w:rPr>
      <w:b/>
      <w:bCs/>
    </w:rPr>
  </w:style>
  <w:style w:type="character" w:customStyle="1" w:styleId="CommentSubjectChar">
    <w:name w:val="Comment Subject Char"/>
    <w:basedOn w:val="CommentTextChar"/>
    <w:link w:val="CommentSubject"/>
    <w:uiPriority w:val="99"/>
    <w:semiHidden/>
    <w:rsid w:val="00662F78"/>
    <w:rPr>
      <w:rFonts w:ascii="Times New Roman" w:eastAsia="Times New Roman" w:hAnsi="Tms Rmn" w:cs="Angsana New"/>
      <w:b/>
      <w:bCs/>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689676">
      <w:bodyDiv w:val="1"/>
      <w:marLeft w:val="0"/>
      <w:marRight w:val="0"/>
      <w:marTop w:val="0"/>
      <w:marBottom w:val="0"/>
      <w:divBdr>
        <w:top w:val="none" w:sz="0" w:space="0" w:color="auto"/>
        <w:left w:val="none" w:sz="0" w:space="0" w:color="auto"/>
        <w:bottom w:val="none" w:sz="0" w:space="0" w:color="auto"/>
        <w:right w:val="none" w:sz="0" w:space="0" w:color="auto"/>
      </w:divBdr>
    </w:div>
    <w:div w:id="430131714">
      <w:bodyDiv w:val="1"/>
      <w:marLeft w:val="0"/>
      <w:marRight w:val="0"/>
      <w:marTop w:val="0"/>
      <w:marBottom w:val="0"/>
      <w:divBdr>
        <w:top w:val="none" w:sz="0" w:space="0" w:color="auto"/>
        <w:left w:val="none" w:sz="0" w:space="0" w:color="auto"/>
        <w:bottom w:val="none" w:sz="0" w:space="0" w:color="auto"/>
        <w:right w:val="none" w:sz="0" w:space="0" w:color="auto"/>
      </w:divBdr>
    </w:div>
    <w:div w:id="775440365">
      <w:bodyDiv w:val="1"/>
      <w:marLeft w:val="0"/>
      <w:marRight w:val="0"/>
      <w:marTop w:val="0"/>
      <w:marBottom w:val="0"/>
      <w:divBdr>
        <w:top w:val="none" w:sz="0" w:space="0" w:color="auto"/>
        <w:left w:val="none" w:sz="0" w:space="0" w:color="auto"/>
        <w:bottom w:val="none" w:sz="0" w:space="0" w:color="auto"/>
        <w:right w:val="none" w:sz="0" w:space="0" w:color="auto"/>
      </w:divBdr>
    </w:div>
    <w:div w:id="838934693">
      <w:bodyDiv w:val="1"/>
      <w:marLeft w:val="0"/>
      <w:marRight w:val="0"/>
      <w:marTop w:val="0"/>
      <w:marBottom w:val="0"/>
      <w:divBdr>
        <w:top w:val="none" w:sz="0" w:space="0" w:color="auto"/>
        <w:left w:val="none" w:sz="0" w:space="0" w:color="auto"/>
        <w:bottom w:val="none" w:sz="0" w:space="0" w:color="auto"/>
        <w:right w:val="none" w:sz="0" w:space="0" w:color="auto"/>
      </w:divBdr>
    </w:div>
    <w:div w:id="1051883026">
      <w:bodyDiv w:val="1"/>
      <w:marLeft w:val="0"/>
      <w:marRight w:val="0"/>
      <w:marTop w:val="0"/>
      <w:marBottom w:val="0"/>
      <w:divBdr>
        <w:top w:val="none" w:sz="0" w:space="0" w:color="auto"/>
        <w:left w:val="none" w:sz="0" w:space="0" w:color="auto"/>
        <w:bottom w:val="none" w:sz="0" w:space="0" w:color="auto"/>
        <w:right w:val="none" w:sz="0" w:space="0" w:color="auto"/>
      </w:divBdr>
    </w:div>
    <w:div w:id="1166172356">
      <w:bodyDiv w:val="1"/>
      <w:marLeft w:val="0"/>
      <w:marRight w:val="0"/>
      <w:marTop w:val="0"/>
      <w:marBottom w:val="0"/>
      <w:divBdr>
        <w:top w:val="none" w:sz="0" w:space="0" w:color="auto"/>
        <w:left w:val="none" w:sz="0" w:space="0" w:color="auto"/>
        <w:bottom w:val="none" w:sz="0" w:space="0" w:color="auto"/>
        <w:right w:val="none" w:sz="0" w:space="0" w:color="auto"/>
      </w:divBdr>
    </w:div>
    <w:div w:id="1225215887">
      <w:bodyDiv w:val="1"/>
      <w:marLeft w:val="0"/>
      <w:marRight w:val="0"/>
      <w:marTop w:val="0"/>
      <w:marBottom w:val="0"/>
      <w:divBdr>
        <w:top w:val="none" w:sz="0" w:space="0" w:color="auto"/>
        <w:left w:val="none" w:sz="0" w:space="0" w:color="auto"/>
        <w:bottom w:val="none" w:sz="0" w:space="0" w:color="auto"/>
        <w:right w:val="none" w:sz="0" w:space="0" w:color="auto"/>
      </w:divBdr>
    </w:div>
    <w:div w:id="1494374997">
      <w:bodyDiv w:val="1"/>
      <w:marLeft w:val="0"/>
      <w:marRight w:val="0"/>
      <w:marTop w:val="0"/>
      <w:marBottom w:val="0"/>
      <w:divBdr>
        <w:top w:val="none" w:sz="0" w:space="0" w:color="auto"/>
        <w:left w:val="none" w:sz="0" w:space="0" w:color="auto"/>
        <w:bottom w:val="none" w:sz="0" w:space="0" w:color="auto"/>
        <w:right w:val="none" w:sz="0" w:space="0" w:color="auto"/>
      </w:divBdr>
    </w:div>
    <w:div w:id="1577714486">
      <w:bodyDiv w:val="1"/>
      <w:marLeft w:val="0"/>
      <w:marRight w:val="0"/>
      <w:marTop w:val="0"/>
      <w:marBottom w:val="0"/>
      <w:divBdr>
        <w:top w:val="none" w:sz="0" w:space="0" w:color="auto"/>
        <w:left w:val="none" w:sz="0" w:space="0" w:color="auto"/>
        <w:bottom w:val="none" w:sz="0" w:space="0" w:color="auto"/>
        <w:right w:val="none" w:sz="0" w:space="0" w:color="auto"/>
      </w:divBdr>
    </w:div>
    <w:div w:id="177956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530878072ECF54A94CE3710DA981A3D" ma:contentTypeVersion="12" ma:contentTypeDescription="Create a new document." ma:contentTypeScope="" ma:versionID="8cca5bd3fa726ffe6be956136f66c132">
  <xsd:schema xmlns:xsd="http://www.w3.org/2001/XMLSchema" xmlns:xs="http://www.w3.org/2001/XMLSchema" xmlns:p="http://schemas.microsoft.com/office/2006/metadata/properties" xmlns:ns2="a279f9c2-aaec-4ca3-846a-3bb324c17389" targetNamespace="http://schemas.microsoft.com/office/2006/metadata/properties" ma:root="true" ma:fieldsID="b9a1b40f4c8cb7efb9b6450d9dabfc20" ns2:_="">
    <xsd:import namespace="a279f9c2-aaec-4ca3-846a-3bb324c1738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79f9c2-aaec-4ca3-846a-3bb324c17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b7a4366-232c-4a93-842e-9850b71208a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279f9c2-aaec-4ca3-846a-3bb324c173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D8BFBB3-C734-4A44-AF45-DDA1329EA654}">
  <ds:schemaRefs>
    <ds:schemaRef ds:uri="http://schemas.microsoft.com/sharepoint/v3/contenttype/forms"/>
  </ds:schemaRefs>
</ds:datastoreItem>
</file>

<file path=customXml/itemProps2.xml><?xml version="1.0" encoding="utf-8"?>
<ds:datastoreItem xmlns:ds="http://schemas.openxmlformats.org/officeDocument/2006/customXml" ds:itemID="{3C398ED4-0085-4719-81F6-62EDBD4C934B}">
  <ds:schemaRefs>
    <ds:schemaRef ds:uri="http://schemas.openxmlformats.org/officeDocument/2006/bibliography"/>
  </ds:schemaRefs>
</ds:datastoreItem>
</file>

<file path=customXml/itemProps3.xml><?xml version="1.0" encoding="utf-8"?>
<ds:datastoreItem xmlns:ds="http://schemas.openxmlformats.org/officeDocument/2006/customXml" ds:itemID="{1000563D-36B3-44F8-8781-0C58189608C2}"/>
</file>

<file path=customXml/itemProps4.xml><?xml version="1.0" encoding="utf-8"?>
<ds:datastoreItem xmlns:ds="http://schemas.openxmlformats.org/officeDocument/2006/customXml" ds:itemID="{30FB203C-0946-4F52-9417-B5BA3C2BE9B6}">
  <ds:schemaRefs>
    <ds:schemaRef ds:uri="http://schemas.microsoft.com/office/2006/documentManagement/types"/>
    <ds:schemaRef ds:uri="http://www.w3.org/XML/1998/namespace"/>
    <ds:schemaRef ds:uri="http://schemas.microsoft.com/office/infopath/2007/PartnerControls"/>
    <ds:schemaRef ds:uri="50c908b1-f277-4340-90a9-4611d0b0f078"/>
    <ds:schemaRef ds:uri="http://purl.org/dc/dcmitype/"/>
    <ds:schemaRef ds:uri="http://schemas.openxmlformats.org/package/2006/metadata/core-properties"/>
    <ds:schemaRef ds:uri="http://purl.org/dc/terms/"/>
    <ds:schemaRef ds:uri="http://purl.org/dc/elements/1.1/"/>
    <ds:schemaRef ds:uri="c6b06fc1-5fc6-4ffd-b812-5ff85025795e"/>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Pages>
  <Words>1091</Words>
  <Characters>6264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EY</Company>
  <LinksUpToDate>false</LinksUpToDate>
  <CharactersWithSpaces>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Pornpan Klaysukpong</dc:creator>
  <cp:keywords/>
  <dc:description/>
  <cp:lastModifiedBy>Darika Tongprapai</cp:lastModifiedBy>
  <cp:revision>61</cp:revision>
  <cp:lastPrinted>2025-05-14T08:16:00Z</cp:lastPrinted>
  <dcterms:created xsi:type="dcterms:W3CDTF">2023-10-25T12:25:00Z</dcterms:created>
  <dcterms:modified xsi:type="dcterms:W3CDTF">2025-05-14T08:16:00Z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5b5edab658bcac7d103e4adcf025c47e7fc186c9bb38061b87bb8835ff16b065</vt:lpwstr>
  </property>
  <property fmtid="{D5CDD505-2E9C-101B-9397-08002B2CF9AE}" pid="3" name="ContentTypeId">
    <vt:lpwstr>0x0101004530878072ECF54A94CE3710DA981A3D</vt:lpwstr>
  </property>
  <property fmtid="{D5CDD505-2E9C-101B-9397-08002B2CF9AE}" pid="4" name="MediaServiceImageTags">
    <vt:lpwstr/>
  </property>
</Properties>
</file>