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rsidR="000D55B0" w:rsidRPr="002757B2" w:rsidRDefault="000D55B0">
      <w:pPr>
        <w:pStyle w:val="Default"/>
        <w:rPr>
          <w:b/>
          <w:bCs/>
          <w:color w:val="CF4A02"/>
          <w:sz w:val="20"/>
          <w:szCs w:val="20"/>
        </w:rPr>
      </w:pPr>
    </w:p>
    <w:p w:rsidR="000D55B0" w:rsidRPr="002757B2" w:rsidRDefault="000D55B0">
      <w:pPr>
        <w:pStyle w:val="Default"/>
        <w:rPr>
          <w:color w:val="CF4A02"/>
          <w:sz w:val="20"/>
          <w:szCs w:val="20"/>
        </w:rPr>
      </w:pPr>
    </w:p>
    <w:p w:rsidR="00790517" w:rsidRPr="002757B2" w:rsidRDefault="00E07F94">
      <w:pPr>
        <w:pStyle w:val="Default"/>
        <w:rPr>
          <w:rFonts w:eastAsia="Calibri"/>
          <w:color w:val="CF4A02"/>
          <w:sz w:val="20"/>
          <w:szCs w:val="20"/>
        </w:rPr>
      </w:pPr>
      <w:r w:rsidRPr="002757B2">
        <w:rPr>
          <w:rFonts w:eastAsia="Calibri"/>
          <w:color w:val="CF4A02"/>
          <w:sz w:val="20"/>
          <w:szCs w:val="20"/>
        </w:rPr>
        <w:t xml:space="preserve">To the </w:t>
      </w:r>
      <w:r w:rsidR="00C173E6">
        <w:rPr>
          <w:rFonts w:eastAsia="Calibri" w:cs="Browallia New"/>
          <w:color w:val="CF4A02"/>
          <w:sz w:val="20"/>
          <w:szCs w:val="25"/>
        </w:rPr>
        <w:t>S</w:t>
      </w:r>
      <w:r w:rsidR="00790517" w:rsidRPr="002757B2">
        <w:rPr>
          <w:rFonts w:eastAsia="Calibri"/>
          <w:color w:val="CF4A02"/>
          <w:sz w:val="20"/>
          <w:szCs w:val="20"/>
        </w:rPr>
        <w:t xml:space="preserve">hareholders </w:t>
      </w:r>
      <w:r w:rsidR="00D11F81" w:rsidRPr="002757B2">
        <w:rPr>
          <w:rFonts w:eastAsia="Calibri"/>
          <w:color w:val="CF4A02"/>
          <w:sz w:val="20"/>
          <w:szCs w:val="20"/>
        </w:rPr>
        <w:t>and the Board of Directors</w:t>
      </w:r>
      <w:r w:rsidR="00293419">
        <w:rPr>
          <w:rFonts w:eastAsia="Calibri"/>
          <w:color w:val="CF4A02"/>
          <w:sz w:val="20"/>
          <w:szCs w:val="20"/>
        </w:rPr>
        <w:t xml:space="preserve"> </w:t>
      </w:r>
      <w:r w:rsidR="005F1C97" w:rsidRPr="002757B2">
        <w:rPr>
          <w:rFonts w:eastAsia="Calibri"/>
          <w:color w:val="CF4A02"/>
          <w:sz w:val="20"/>
          <w:szCs w:val="20"/>
        </w:rPr>
        <w:t xml:space="preserve">of </w:t>
      </w:r>
      <w:r w:rsidR="00293419">
        <w:rPr>
          <w:rFonts w:eastAsia="Calibri"/>
          <w:color w:val="CF4A02"/>
          <w:sz w:val="20"/>
          <w:szCs w:val="20"/>
        </w:rPr>
        <w:t>B.Grimm Power Public Company Limited</w:t>
      </w:r>
      <w:r w:rsidR="00790517" w:rsidRPr="002757B2">
        <w:rPr>
          <w:rFonts w:eastAsia="Calibri"/>
          <w:color w:val="CF4A02"/>
          <w:sz w:val="20"/>
          <w:szCs w:val="20"/>
        </w:rPr>
        <w:t xml:space="preserve"> </w:t>
      </w:r>
    </w:p>
    <w:p w:rsidR="00790517" w:rsidRPr="002757B2" w:rsidRDefault="00790517">
      <w:pPr>
        <w:pStyle w:val="Default"/>
        <w:rPr>
          <w:b/>
          <w:bCs/>
          <w:color w:val="CF4A02"/>
          <w:sz w:val="20"/>
          <w:szCs w:val="20"/>
        </w:rPr>
      </w:pPr>
    </w:p>
    <w:p w:rsidR="00790517" w:rsidRPr="002757B2" w:rsidRDefault="00790517">
      <w:pPr>
        <w:pStyle w:val="Default"/>
        <w:rPr>
          <w:b/>
          <w:bCs/>
          <w:color w:val="CF4A02"/>
          <w:sz w:val="20"/>
          <w:szCs w:val="20"/>
        </w:rPr>
      </w:pPr>
    </w:p>
    <w:p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rsidR="00E3702E" w:rsidRPr="002757B2" w:rsidRDefault="00E3702E" w:rsidP="00F67AF3">
      <w:pPr>
        <w:pStyle w:val="Default"/>
        <w:jc w:val="thaiDistribute"/>
        <w:rPr>
          <w:rFonts w:eastAsia="Calibri"/>
          <w:b/>
          <w:bCs/>
          <w:color w:val="000000" w:themeColor="text1"/>
          <w:sz w:val="20"/>
          <w:szCs w:val="20"/>
        </w:rPr>
      </w:pPr>
    </w:p>
    <w:p w:rsidR="009D6C4B" w:rsidRPr="00896E50" w:rsidRDefault="009D6C4B" w:rsidP="008B018B">
      <w:pPr>
        <w:spacing w:after="0" w:line="240" w:lineRule="auto"/>
        <w:jc w:val="thaiDistribute"/>
        <w:rPr>
          <w:rFonts w:ascii="Arial" w:hAnsi="Arial" w:cs="Arial"/>
          <w:color w:val="000000" w:themeColor="text1"/>
          <w:sz w:val="20"/>
          <w:szCs w:val="20"/>
        </w:rPr>
      </w:pPr>
      <w:r w:rsidRPr="00896E50">
        <w:rPr>
          <w:rFonts w:ascii="Arial" w:hAnsi="Arial" w:cs="Arial"/>
          <w:color w:val="000000" w:themeColor="text1"/>
          <w:sz w:val="20"/>
          <w:szCs w:val="20"/>
        </w:rPr>
        <w:t xml:space="preserve">In my opinion, the consolidated </w:t>
      </w:r>
      <w:r w:rsidR="00AF7479" w:rsidRPr="00896E50">
        <w:rPr>
          <w:rFonts w:ascii="Arial" w:hAnsi="Arial" w:cs="Arial"/>
          <w:color w:val="000000" w:themeColor="text1"/>
          <w:sz w:val="20"/>
          <w:szCs w:val="20"/>
        </w:rPr>
        <w:t>financial statements</w:t>
      </w:r>
      <w:r w:rsidR="00110A99" w:rsidRPr="00896E50">
        <w:rPr>
          <w:rFonts w:ascii="Arial" w:hAnsi="Arial" w:cs="Arial"/>
          <w:color w:val="000000" w:themeColor="text1"/>
          <w:sz w:val="20"/>
          <w:szCs w:val="20"/>
        </w:rPr>
        <w:t xml:space="preserve"> </w:t>
      </w:r>
      <w:r w:rsidR="001E1DA2" w:rsidRPr="00896E50">
        <w:rPr>
          <w:rFonts w:ascii="Arial" w:hAnsi="Arial" w:cs="Arial"/>
          <w:color w:val="000000" w:themeColor="text1"/>
          <w:sz w:val="20"/>
          <w:szCs w:val="20"/>
          <w:lang w:val="en-US"/>
        </w:rPr>
        <w:t xml:space="preserve">and the </w:t>
      </w:r>
      <w:r w:rsidR="001E1DA2" w:rsidRPr="00896E50">
        <w:rPr>
          <w:rFonts w:ascii="Arial" w:hAnsi="Arial" w:cs="Arial"/>
          <w:color w:val="000000" w:themeColor="text1"/>
          <w:sz w:val="20"/>
          <w:szCs w:val="20"/>
        </w:rPr>
        <w:t xml:space="preserve">separate financial statements </w:t>
      </w:r>
      <w:r w:rsidRPr="00896E50">
        <w:rPr>
          <w:rFonts w:ascii="Arial" w:hAnsi="Arial" w:cs="Arial"/>
          <w:color w:val="000000" w:themeColor="text1"/>
          <w:sz w:val="20"/>
          <w:szCs w:val="20"/>
        </w:rPr>
        <w:t xml:space="preserve">present fairly, in all material respects, the consolidated financial position </w:t>
      </w:r>
      <w:r w:rsidR="00896E50" w:rsidRPr="00896E50">
        <w:rPr>
          <w:rFonts w:ascii="Arial" w:hAnsi="Arial" w:cs="Arial"/>
          <w:color w:val="000000" w:themeColor="text1"/>
          <w:sz w:val="20"/>
          <w:szCs w:val="20"/>
        </w:rPr>
        <w:t xml:space="preserve">of B.Grimm Power Public Company Limited (the Company) </w:t>
      </w:r>
      <w:r w:rsidR="00896E50" w:rsidRPr="00896E50">
        <w:rPr>
          <w:rFonts w:ascii="Arial" w:hAnsi="Arial" w:cs="Arial"/>
          <w:color w:val="000000" w:themeColor="text1"/>
          <w:sz w:val="20"/>
          <w:szCs w:val="20"/>
          <w:lang w:val="en-US"/>
        </w:rPr>
        <w:t xml:space="preserve">and its subsidiaries (the Group) </w:t>
      </w:r>
      <w:r w:rsidRPr="00896E50">
        <w:rPr>
          <w:rFonts w:ascii="Arial" w:hAnsi="Arial" w:cs="Arial"/>
          <w:color w:val="000000" w:themeColor="text1"/>
          <w:sz w:val="20"/>
          <w:szCs w:val="20"/>
          <w:lang w:val="en-US"/>
        </w:rPr>
        <w:t xml:space="preserve">and the </w:t>
      </w:r>
      <w:r w:rsidR="00272B60" w:rsidRPr="00896E50">
        <w:rPr>
          <w:rFonts w:ascii="Arial" w:hAnsi="Arial" w:cs="Browallia New"/>
          <w:color w:val="000000" w:themeColor="text1"/>
          <w:sz w:val="20"/>
          <w:szCs w:val="20"/>
        </w:rPr>
        <w:t xml:space="preserve">separate financial position of the </w:t>
      </w:r>
      <w:r w:rsidRPr="00896E50">
        <w:rPr>
          <w:rFonts w:ascii="Arial" w:hAnsi="Arial" w:cs="Arial"/>
          <w:color w:val="000000" w:themeColor="text1"/>
          <w:sz w:val="20"/>
          <w:szCs w:val="20"/>
          <w:lang w:val="en-US"/>
        </w:rPr>
        <w:t xml:space="preserve">Company </w:t>
      </w:r>
      <w:r w:rsidRPr="00896E50">
        <w:rPr>
          <w:rFonts w:ascii="Arial" w:hAnsi="Arial" w:cs="Arial"/>
          <w:color w:val="000000" w:themeColor="text1"/>
          <w:sz w:val="20"/>
          <w:szCs w:val="20"/>
        </w:rPr>
        <w:t xml:space="preserve">as at </w:t>
      </w:r>
      <w:r w:rsidR="00CC2DE9" w:rsidRPr="00896E50">
        <w:rPr>
          <w:rFonts w:ascii="Arial" w:hAnsi="Arial" w:cs="Arial"/>
          <w:color w:val="000000" w:themeColor="text1"/>
          <w:sz w:val="20"/>
          <w:szCs w:val="20"/>
          <w:lang w:val="en-US"/>
        </w:rPr>
        <w:t>31 December 2020</w:t>
      </w:r>
      <w:r w:rsidRPr="00896E50">
        <w:rPr>
          <w:rFonts w:ascii="Arial" w:hAnsi="Arial" w:cs="Arial"/>
          <w:color w:val="000000" w:themeColor="text1"/>
          <w:sz w:val="20"/>
          <w:szCs w:val="20"/>
          <w:lang w:val="en-US"/>
        </w:rPr>
        <w:t>,</w:t>
      </w:r>
      <w:r w:rsidRPr="00896E50">
        <w:rPr>
          <w:rFonts w:ascii="Arial" w:hAnsi="Arial" w:cs="Arial"/>
          <w:color w:val="000000" w:themeColor="text1"/>
          <w:sz w:val="20"/>
          <w:szCs w:val="20"/>
        </w:rPr>
        <w:t xml:space="preserve"> and its consolidated and separate financial performance and its consolidated and separate cash flows for the year then ended in accordance with Thai Financial Reporting Standards (TFRS). </w:t>
      </w:r>
    </w:p>
    <w:p w:rsidR="009D6C4B" w:rsidRPr="002757B2" w:rsidRDefault="009D6C4B" w:rsidP="00F67AF3">
      <w:pPr>
        <w:pStyle w:val="Default"/>
        <w:jc w:val="thaiDistribute"/>
        <w:rPr>
          <w:b/>
          <w:bCs/>
          <w:color w:val="000000" w:themeColor="text1"/>
          <w:sz w:val="20"/>
          <w:szCs w:val="20"/>
        </w:rPr>
      </w:pPr>
    </w:p>
    <w:p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rsidR="00E3702E" w:rsidRPr="002757B2" w:rsidRDefault="00E3702E" w:rsidP="00F67AF3">
      <w:pPr>
        <w:pStyle w:val="Default"/>
        <w:jc w:val="thaiDistribute"/>
        <w:rPr>
          <w:rFonts w:eastAsia="Calibri"/>
          <w:b/>
          <w:bCs/>
          <w:color w:val="000000" w:themeColor="text1"/>
          <w:sz w:val="20"/>
          <w:szCs w:val="20"/>
        </w:rPr>
      </w:pPr>
    </w:p>
    <w:p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rsidR="00D7661B" w:rsidRPr="002757B2" w:rsidRDefault="00D7661B" w:rsidP="008B01E8">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at </w:t>
      </w:r>
      <w:r w:rsidR="00A43700" w:rsidRPr="00CC2DE9">
        <w:rPr>
          <w:color w:val="000000" w:themeColor="text1"/>
          <w:sz w:val="20"/>
          <w:szCs w:val="20"/>
          <w:lang w:val="en-US"/>
        </w:rPr>
        <w:t>31 December 2020</w:t>
      </w:r>
      <w:r w:rsidR="001914F3" w:rsidRPr="002757B2">
        <w:rPr>
          <w:i/>
          <w:iCs/>
          <w:color w:val="000000" w:themeColor="text1"/>
          <w:sz w:val="20"/>
          <w:szCs w:val="20"/>
          <w:lang w:val="en-US"/>
        </w:rPr>
        <w:t>;</w:t>
      </w:r>
    </w:p>
    <w:p w:rsidR="00D7661B" w:rsidRPr="002757B2" w:rsidRDefault="00D7661B" w:rsidP="008B01E8">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ended;</w:t>
      </w:r>
    </w:p>
    <w:p w:rsidR="00D7661B" w:rsidRPr="002757B2" w:rsidRDefault="00D7661B" w:rsidP="008B01E8">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rsidR="00D7661B" w:rsidRPr="002757B2" w:rsidRDefault="00D7661B" w:rsidP="008B01E8">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rsidR="00D7661B" w:rsidRPr="002757B2" w:rsidRDefault="00D7661B" w:rsidP="008B01E8">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rsidR="001F0191" w:rsidRPr="002757B2" w:rsidRDefault="001F0191" w:rsidP="008B01E8">
      <w:pPr>
        <w:pStyle w:val="Default"/>
        <w:ind w:left="540" w:hanging="360"/>
        <w:jc w:val="thaiDistribute"/>
        <w:rPr>
          <w:color w:val="000000" w:themeColor="text1"/>
          <w:sz w:val="20"/>
          <w:szCs w:val="20"/>
        </w:rPr>
      </w:pPr>
    </w:p>
    <w:p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rsidR="00E3702E" w:rsidRPr="002757B2" w:rsidRDefault="00E3702E" w:rsidP="00F67AF3">
      <w:pPr>
        <w:pStyle w:val="Default"/>
        <w:jc w:val="thaiDistribute"/>
        <w:rPr>
          <w:rFonts w:eastAsia="Calibri"/>
          <w:b/>
          <w:bCs/>
          <w:color w:val="000000" w:themeColor="text1"/>
          <w:sz w:val="20"/>
          <w:szCs w:val="20"/>
        </w:rPr>
      </w:pPr>
    </w:p>
    <w:p w:rsidR="00684C98" w:rsidRPr="002757B2"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w:t>
      </w:r>
      <w:r w:rsidRPr="002757B2">
        <w:rPr>
          <w:color w:val="000000" w:themeColor="text1"/>
          <w:sz w:val="20"/>
          <w:szCs w:val="20"/>
        </w:rPr>
        <w:t>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rsidR="008A4E40" w:rsidRPr="002757B2" w:rsidRDefault="008A4E40" w:rsidP="008B018B">
      <w:pPr>
        <w:pStyle w:val="Default"/>
        <w:jc w:val="thaiDistribute"/>
        <w:rPr>
          <w:rFonts w:cstheme="minorBidi"/>
          <w:color w:val="000000" w:themeColor="text1"/>
          <w:sz w:val="20"/>
          <w:szCs w:val="20"/>
        </w:rPr>
      </w:pPr>
    </w:p>
    <w:p w:rsidR="008A4E40" w:rsidRPr="002757B2" w:rsidRDefault="008A4E40" w:rsidP="00F67AF3">
      <w:pPr>
        <w:pStyle w:val="Default"/>
        <w:jc w:val="thaiDistribute"/>
        <w:rPr>
          <w:rFonts w:cs="Angsana New"/>
          <w:b/>
          <w:bCs/>
          <w:color w:val="000000" w:themeColor="text1"/>
          <w:sz w:val="20"/>
          <w:szCs w:val="20"/>
          <w:cs/>
        </w:rPr>
        <w:sectPr w:rsidR="008A4E40" w:rsidRPr="002757B2" w:rsidSect="008B01E8">
          <w:headerReference w:type="default" r:id="rId8"/>
          <w:pgSz w:w="11909" w:h="16834" w:code="9"/>
          <w:pgMar w:top="3139" w:right="720" w:bottom="1584" w:left="1987" w:header="706" w:footer="706" w:gutter="0"/>
          <w:cols w:space="708"/>
          <w:docGrid w:linePitch="360"/>
        </w:sectPr>
      </w:pPr>
    </w:p>
    <w:p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rsidR="00240078" w:rsidRPr="002757B2" w:rsidRDefault="00240078" w:rsidP="00240078">
      <w:pPr>
        <w:pStyle w:val="Default"/>
        <w:jc w:val="thaiDistribute"/>
        <w:rPr>
          <w:rFonts w:eastAsia="Calibri"/>
          <w:b/>
          <w:bCs/>
          <w:color w:val="000000" w:themeColor="text1"/>
          <w:sz w:val="20"/>
          <w:szCs w:val="20"/>
        </w:rPr>
      </w:pPr>
    </w:p>
    <w:p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statements as a whole, and in forming my opinion thereon, and I do not provide a separate opinion on these matters. </w:t>
      </w:r>
    </w:p>
    <w:p w:rsidR="00240078" w:rsidRPr="002757B2" w:rsidRDefault="00240078" w:rsidP="00240078">
      <w:pPr>
        <w:pStyle w:val="Default"/>
        <w:jc w:val="thaiDistribute"/>
        <w:rPr>
          <w:color w:val="000000" w:themeColor="text1"/>
          <w:sz w:val="20"/>
          <w:szCs w:val="20"/>
        </w:rPr>
      </w:pP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2"/>
        <w:gridCol w:w="18"/>
        <w:gridCol w:w="4797"/>
      </w:tblGrid>
      <w:tr w:rsidR="006E3CD2" w:rsidRPr="002757B2" w:rsidTr="008B01E8">
        <w:trPr>
          <w:trHeight w:val="346"/>
        </w:trPr>
        <w:tc>
          <w:tcPr>
            <w:tcW w:w="4392" w:type="dxa"/>
            <w:shd w:val="clear" w:color="auto" w:fill="FFA543"/>
            <w:vAlign w:val="center"/>
          </w:tcPr>
          <w:p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r w:rsidR="00D30590">
              <w:rPr>
                <w:b/>
                <w:bCs/>
                <w:color w:val="FFFFFF" w:themeColor="background1"/>
                <w:sz w:val="20"/>
                <w:szCs w:val="20"/>
              </w:rPr>
              <w:t>s</w:t>
            </w:r>
          </w:p>
        </w:tc>
        <w:tc>
          <w:tcPr>
            <w:tcW w:w="4815" w:type="dxa"/>
            <w:gridSpan w:val="2"/>
            <w:shd w:val="clear" w:color="auto" w:fill="FFA543"/>
            <w:vAlign w:val="center"/>
          </w:tcPr>
          <w:p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6E3CD2" w:rsidRPr="002757B2" w:rsidTr="008B01E8">
        <w:tc>
          <w:tcPr>
            <w:tcW w:w="4410" w:type="dxa"/>
            <w:gridSpan w:val="2"/>
            <w:shd w:val="clear" w:color="auto" w:fill="auto"/>
          </w:tcPr>
          <w:p w:rsidR="00240078" w:rsidRPr="00D52E07" w:rsidRDefault="00240078" w:rsidP="00E41EF1">
            <w:pPr>
              <w:pStyle w:val="Default"/>
              <w:ind w:left="-104" w:right="-33"/>
              <w:jc w:val="thaiDistribute"/>
              <w:rPr>
                <w:b/>
                <w:bCs/>
                <w:i/>
                <w:iCs/>
                <w:color w:val="000000" w:themeColor="text1"/>
                <w:sz w:val="12"/>
                <w:szCs w:val="12"/>
              </w:rPr>
            </w:pPr>
          </w:p>
          <w:p w:rsidR="00240078" w:rsidRDefault="006F2AA2" w:rsidP="00E41EF1">
            <w:pPr>
              <w:pStyle w:val="Default"/>
              <w:ind w:left="-104" w:right="-33"/>
              <w:jc w:val="thaiDistribute"/>
              <w:rPr>
                <w:b/>
                <w:bCs/>
                <w:i/>
                <w:iCs/>
                <w:color w:val="000000" w:themeColor="text1"/>
                <w:sz w:val="20"/>
                <w:szCs w:val="20"/>
              </w:rPr>
            </w:pPr>
            <w:r w:rsidRPr="006F2AA2">
              <w:rPr>
                <w:b/>
                <w:bCs/>
                <w:i/>
                <w:iCs/>
                <w:color w:val="000000" w:themeColor="text1"/>
                <w:sz w:val="20"/>
                <w:szCs w:val="20"/>
              </w:rPr>
              <w:t xml:space="preserve">Acquisition of Angthong Power </w:t>
            </w:r>
            <w:r w:rsidR="00CF181D">
              <w:rPr>
                <w:b/>
                <w:bCs/>
                <w:i/>
                <w:iCs/>
                <w:color w:val="000000" w:themeColor="text1"/>
                <w:sz w:val="20"/>
                <w:szCs w:val="20"/>
              </w:rPr>
              <w:t>Co., Ltd.</w:t>
            </w:r>
          </w:p>
          <w:p w:rsidR="002200FD" w:rsidRPr="002200FD" w:rsidRDefault="002200FD" w:rsidP="00E41EF1">
            <w:pPr>
              <w:pStyle w:val="Default"/>
              <w:ind w:left="-104" w:right="-33"/>
              <w:jc w:val="thaiDistribute"/>
              <w:rPr>
                <w:b/>
                <w:bCs/>
                <w:i/>
                <w:iCs/>
                <w:color w:val="000000" w:themeColor="text1"/>
                <w:sz w:val="12"/>
                <w:szCs w:val="12"/>
              </w:rPr>
            </w:pPr>
          </w:p>
        </w:tc>
        <w:tc>
          <w:tcPr>
            <w:tcW w:w="4797" w:type="dxa"/>
            <w:shd w:val="clear" w:color="auto" w:fill="FAFAFA"/>
          </w:tcPr>
          <w:p w:rsidR="00240078" w:rsidRPr="002757B2" w:rsidRDefault="00240078" w:rsidP="00D76813">
            <w:pPr>
              <w:pStyle w:val="Default"/>
              <w:jc w:val="thaiDistribute"/>
              <w:rPr>
                <w:color w:val="000000" w:themeColor="text1"/>
                <w:sz w:val="20"/>
                <w:szCs w:val="20"/>
              </w:rPr>
            </w:pPr>
          </w:p>
        </w:tc>
      </w:tr>
      <w:tr w:rsidR="006E3CD2" w:rsidRPr="002757B2" w:rsidTr="008B01E8">
        <w:tc>
          <w:tcPr>
            <w:tcW w:w="4410" w:type="dxa"/>
            <w:gridSpan w:val="2"/>
            <w:shd w:val="clear" w:color="auto" w:fill="auto"/>
          </w:tcPr>
          <w:p w:rsidR="006F2AA2" w:rsidRPr="008B01E8" w:rsidRDefault="006F2AA2" w:rsidP="00E41EF1">
            <w:pPr>
              <w:pStyle w:val="Default"/>
              <w:ind w:left="-104" w:right="-33"/>
              <w:jc w:val="thaiDistribute"/>
              <w:rPr>
                <w:color w:val="000000" w:themeColor="text1"/>
                <w:sz w:val="12"/>
                <w:szCs w:val="12"/>
              </w:rPr>
            </w:pPr>
          </w:p>
          <w:p w:rsidR="006F2AA2" w:rsidRPr="006F2AA2" w:rsidRDefault="006F2AA2" w:rsidP="00E41EF1">
            <w:pPr>
              <w:pStyle w:val="Default"/>
              <w:ind w:left="-104" w:right="-33"/>
              <w:jc w:val="thaiDistribute"/>
              <w:rPr>
                <w:color w:val="000000" w:themeColor="text1"/>
                <w:sz w:val="20"/>
                <w:szCs w:val="20"/>
              </w:rPr>
            </w:pPr>
            <w:r w:rsidRPr="008B01E8">
              <w:rPr>
                <w:color w:val="000000" w:themeColor="text1"/>
                <w:spacing w:val="-4"/>
                <w:sz w:val="20"/>
                <w:szCs w:val="20"/>
              </w:rPr>
              <w:t xml:space="preserve">Referring to Note </w:t>
            </w:r>
            <w:r w:rsidR="008D5EE4" w:rsidRPr="008B01E8">
              <w:rPr>
                <w:color w:val="000000" w:themeColor="text1"/>
                <w:spacing w:val="-4"/>
                <w:sz w:val="20"/>
                <w:szCs w:val="20"/>
              </w:rPr>
              <w:t>8</w:t>
            </w:r>
            <w:r w:rsidRPr="008B01E8">
              <w:rPr>
                <w:color w:val="000000" w:themeColor="text1"/>
                <w:spacing w:val="-4"/>
                <w:sz w:val="20"/>
                <w:szCs w:val="20"/>
              </w:rPr>
              <w:t xml:space="preserve"> ‘Critical accounting estimates</w:t>
            </w:r>
            <w:r w:rsidRPr="006F2AA2">
              <w:rPr>
                <w:color w:val="000000" w:themeColor="text1"/>
                <w:sz w:val="20"/>
                <w:szCs w:val="20"/>
              </w:rPr>
              <w:t xml:space="preserve"> </w:t>
            </w:r>
            <w:r w:rsidRPr="008B01E8">
              <w:rPr>
                <w:color w:val="000000" w:themeColor="text1"/>
                <w:spacing w:val="-10"/>
                <w:sz w:val="20"/>
                <w:szCs w:val="20"/>
              </w:rPr>
              <w:t xml:space="preserve">and judgements’, Note </w:t>
            </w:r>
            <w:r w:rsidR="00A966DA" w:rsidRPr="008B01E8">
              <w:rPr>
                <w:color w:val="000000" w:themeColor="text1"/>
                <w:spacing w:val="-10"/>
                <w:sz w:val="20"/>
                <w:szCs w:val="20"/>
              </w:rPr>
              <w:t>17</w:t>
            </w:r>
            <w:r w:rsidRPr="008B01E8">
              <w:rPr>
                <w:color w:val="000000" w:themeColor="text1"/>
                <w:spacing w:val="-10"/>
                <w:sz w:val="20"/>
                <w:szCs w:val="20"/>
              </w:rPr>
              <w:t xml:space="preserve"> ‘Investments in subsidiaries’ </w:t>
            </w:r>
            <w:r w:rsidRPr="008B01E8">
              <w:rPr>
                <w:color w:val="000000" w:themeColor="text1"/>
                <w:spacing w:val="-4"/>
                <w:sz w:val="20"/>
                <w:szCs w:val="20"/>
              </w:rPr>
              <w:t>and Note 41 ‘Business combination’.</w:t>
            </w:r>
          </w:p>
          <w:p w:rsidR="006F2AA2" w:rsidRPr="006F2AA2" w:rsidRDefault="006F2AA2" w:rsidP="00E41EF1">
            <w:pPr>
              <w:pStyle w:val="Default"/>
              <w:ind w:left="-104" w:right="-33"/>
              <w:jc w:val="thaiDistribute"/>
              <w:rPr>
                <w:color w:val="000000" w:themeColor="text1"/>
                <w:sz w:val="20"/>
                <w:szCs w:val="20"/>
              </w:rPr>
            </w:pPr>
          </w:p>
          <w:p w:rsidR="006F2AA2" w:rsidRPr="006F2AA2" w:rsidRDefault="006F2AA2" w:rsidP="00E41EF1">
            <w:pPr>
              <w:pStyle w:val="Default"/>
              <w:ind w:left="-104" w:right="-33"/>
              <w:jc w:val="thaiDistribute"/>
              <w:rPr>
                <w:color w:val="000000" w:themeColor="text1"/>
                <w:sz w:val="20"/>
                <w:szCs w:val="20"/>
              </w:rPr>
            </w:pPr>
            <w:r w:rsidRPr="006F2AA2">
              <w:rPr>
                <w:color w:val="000000" w:themeColor="text1"/>
                <w:sz w:val="20"/>
                <w:szCs w:val="20"/>
              </w:rPr>
              <w:t xml:space="preserve">On 17 March 2020, the Group acquired 70% of equity interest in Angthong Power </w:t>
            </w:r>
            <w:r w:rsidR="00CF181D">
              <w:rPr>
                <w:color w:val="000000" w:themeColor="text1"/>
                <w:sz w:val="20"/>
                <w:szCs w:val="20"/>
              </w:rPr>
              <w:t xml:space="preserve">Co., Ltd. </w:t>
            </w:r>
            <w:r w:rsidRPr="006F2AA2">
              <w:rPr>
                <w:color w:val="000000" w:themeColor="text1"/>
                <w:sz w:val="20"/>
                <w:szCs w:val="20"/>
              </w:rPr>
              <w:t xml:space="preserve">(ATP) for a consideration amounting to Baht 2,520 million. The investment is considered as a business combination under TFRS 3 - Business Combinations. </w:t>
            </w:r>
          </w:p>
          <w:p w:rsidR="006F2AA2" w:rsidRPr="006F2AA2" w:rsidRDefault="006F2AA2" w:rsidP="00E41EF1">
            <w:pPr>
              <w:pStyle w:val="Default"/>
              <w:ind w:left="-104" w:right="-33"/>
              <w:jc w:val="thaiDistribute"/>
              <w:rPr>
                <w:color w:val="000000" w:themeColor="text1"/>
                <w:sz w:val="20"/>
                <w:szCs w:val="20"/>
              </w:rPr>
            </w:pPr>
          </w:p>
          <w:p w:rsidR="006F2AA2" w:rsidRPr="006F2AA2" w:rsidRDefault="006F2AA2" w:rsidP="00E41EF1">
            <w:pPr>
              <w:pStyle w:val="Default"/>
              <w:ind w:left="-104" w:right="-33"/>
              <w:jc w:val="thaiDistribute"/>
              <w:rPr>
                <w:color w:val="000000" w:themeColor="text1"/>
                <w:sz w:val="20"/>
                <w:szCs w:val="20"/>
              </w:rPr>
            </w:pPr>
            <w:r w:rsidRPr="006F2AA2">
              <w:rPr>
                <w:color w:val="000000" w:themeColor="text1"/>
                <w:sz w:val="20"/>
                <w:szCs w:val="20"/>
              </w:rPr>
              <w:t xml:space="preserve">The management engaged independent valuers to prepare a purchase price allocation and to evaluate the fair value of net assets acquired. </w:t>
            </w:r>
          </w:p>
          <w:p w:rsidR="006F2AA2" w:rsidRPr="006F2AA2" w:rsidRDefault="006F2AA2" w:rsidP="00E41EF1">
            <w:pPr>
              <w:pStyle w:val="Default"/>
              <w:ind w:left="-104" w:right="-33"/>
              <w:jc w:val="thaiDistribute"/>
              <w:rPr>
                <w:color w:val="000000" w:themeColor="text1"/>
                <w:sz w:val="20"/>
                <w:szCs w:val="20"/>
              </w:rPr>
            </w:pPr>
          </w:p>
          <w:p w:rsidR="00240078" w:rsidRPr="002757B2" w:rsidRDefault="006F2AA2" w:rsidP="00E41EF1">
            <w:pPr>
              <w:pStyle w:val="Default"/>
              <w:ind w:left="-104" w:right="-33"/>
              <w:jc w:val="thaiDistribute"/>
              <w:rPr>
                <w:color w:val="000000" w:themeColor="text1"/>
                <w:sz w:val="20"/>
                <w:szCs w:val="20"/>
              </w:rPr>
            </w:pPr>
            <w:r w:rsidRPr="008B01E8">
              <w:rPr>
                <w:color w:val="000000" w:themeColor="text1"/>
                <w:sz w:val="20"/>
                <w:szCs w:val="20"/>
              </w:rPr>
              <w:t>I focused on this matter because significant amounts</w:t>
            </w:r>
            <w:r w:rsidRPr="006F2AA2">
              <w:rPr>
                <w:color w:val="000000" w:themeColor="text1"/>
                <w:sz w:val="20"/>
                <w:szCs w:val="20"/>
              </w:rPr>
              <w:t xml:space="preserve"> of right in power purchase agreements as well as goodwill were recognised upon the </w:t>
            </w:r>
            <w:r w:rsidRPr="008B01E8">
              <w:rPr>
                <w:color w:val="000000" w:themeColor="text1"/>
                <w:spacing w:val="-2"/>
                <w:sz w:val="20"/>
                <w:szCs w:val="20"/>
              </w:rPr>
              <w:t>purchase price allocation exercise which involved</w:t>
            </w:r>
            <w:r w:rsidRPr="006F2AA2">
              <w:rPr>
                <w:color w:val="000000" w:themeColor="text1"/>
                <w:sz w:val="20"/>
                <w:szCs w:val="20"/>
              </w:rPr>
              <w:t xml:space="preserve"> management’s judgement on the inputs and assumptions in the valuation model as well as the discount rates applied.</w:t>
            </w:r>
          </w:p>
        </w:tc>
        <w:tc>
          <w:tcPr>
            <w:tcW w:w="4797" w:type="dxa"/>
            <w:shd w:val="clear" w:color="auto" w:fill="FAFAFA"/>
          </w:tcPr>
          <w:p w:rsidR="008B01E8" w:rsidRPr="008B01E8" w:rsidRDefault="008B01E8" w:rsidP="006F2AA2">
            <w:pPr>
              <w:jc w:val="thaiDistribute"/>
              <w:rPr>
                <w:rFonts w:ascii="Arial" w:hAnsi="Arial" w:cs="Arial"/>
                <w:spacing w:val="-2"/>
                <w:sz w:val="12"/>
                <w:szCs w:val="12"/>
              </w:rPr>
            </w:pPr>
          </w:p>
          <w:p w:rsidR="006F2AA2" w:rsidRDefault="006F2AA2" w:rsidP="006F2AA2">
            <w:pPr>
              <w:jc w:val="thaiDistribute"/>
              <w:rPr>
                <w:rFonts w:ascii="Arial" w:hAnsi="Arial"/>
                <w:spacing w:val="-2"/>
                <w:sz w:val="20"/>
                <w:szCs w:val="20"/>
              </w:rPr>
            </w:pPr>
            <w:r>
              <w:rPr>
                <w:rFonts w:ascii="Arial" w:hAnsi="Arial" w:cs="Arial"/>
                <w:spacing w:val="-2"/>
                <w:sz w:val="20"/>
                <w:szCs w:val="20"/>
              </w:rPr>
              <w:t>I performed the following procedures</w:t>
            </w:r>
            <w:r>
              <w:rPr>
                <w:rFonts w:ascii="Arial" w:hAnsi="Arial"/>
                <w:spacing w:val="-2"/>
                <w:sz w:val="20"/>
                <w:szCs w:val="20"/>
              </w:rPr>
              <w:t xml:space="preserve"> in auditing this matter.</w:t>
            </w:r>
          </w:p>
          <w:p w:rsidR="006F2AA2" w:rsidRDefault="006F2AA2" w:rsidP="006F2AA2">
            <w:pPr>
              <w:jc w:val="thaiDistribute"/>
              <w:rPr>
                <w:rFonts w:ascii="Arial" w:hAnsi="Arial" w:cs="Arial"/>
                <w:spacing w:val="-5"/>
                <w:sz w:val="20"/>
                <w:szCs w:val="20"/>
              </w:rPr>
            </w:pPr>
          </w:p>
          <w:p w:rsidR="006F2AA2" w:rsidRDefault="006F2AA2" w:rsidP="006F2AA2">
            <w:pPr>
              <w:pStyle w:val="ListParagraph"/>
              <w:numPr>
                <w:ilvl w:val="0"/>
                <w:numId w:val="6"/>
              </w:numPr>
              <w:spacing w:line="256" w:lineRule="auto"/>
              <w:ind w:left="296" w:hanging="284"/>
              <w:jc w:val="thaiDistribute"/>
              <w:rPr>
                <w:rFonts w:ascii="Arial" w:hAnsi="Arial" w:cs="Arial"/>
                <w:sz w:val="20"/>
                <w:szCs w:val="20"/>
              </w:rPr>
            </w:pPr>
            <w:r w:rsidRPr="008B01E8">
              <w:rPr>
                <w:rFonts w:ascii="Arial" w:hAnsi="Arial" w:cs="Arial"/>
                <w:spacing w:val="-10"/>
                <w:sz w:val="20"/>
                <w:szCs w:val="20"/>
              </w:rPr>
              <w:t>Assessed management’s consideration of accounting</w:t>
            </w:r>
            <w:r>
              <w:rPr>
                <w:rFonts w:ascii="Arial" w:hAnsi="Arial" w:cs="Arial"/>
                <w:sz w:val="20"/>
                <w:szCs w:val="20"/>
              </w:rPr>
              <w:t xml:space="preserve"> for the acquisition as a business combination under TFRS 3.</w:t>
            </w:r>
          </w:p>
          <w:p w:rsidR="006F2AA2" w:rsidRDefault="006F2AA2" w:rsidP="006F2AA2">
            <w:pPr>
              <w:ind w:left="296" w:hanging="284"/>
              <w:jc w:val="thaiDistribute"/>
              <w:rPr>
                <w:rFonts w:ascii="Arial" w:hAnsi="Arial" w:cs="Arial"/>
                <w:sz w:val="20"/>
                <w:szCs w:val="20"/>
              </w:rPr>
            </w:pPr>
          </w:p>
          <w:p w:rsidR="006F2AA2" w:rsidRDefault="006F2AA2" w:rsidP="006F2AA2">
            <w:pPr>
              <w:pStyle w:val="ListParagraph"/>
              <w:numPr>
                <w:ilvl w:val="0"/>
                <w:numId w:val="6"/>
              </w:numPr>
              <w:spacing w:line="256" w:lineRule="auto"/>
              <w:ind w:left="296" w:hanging="284"/>
              <w:jc w:val="thaiDistribute"/>
              <w:rPr>
                <w:rFonts w:ascii="Arial" w:hAnsi="Arial" w:cs="Arial"/>
                <w:spacing w:val="-2"/>
                <w:sz w:val="20"/>
                <w:szCs w:val="20"/>
              </w:rPr>
            </w:pPr>
            <w:r>
              <w:rPr>
                <w:rFonts w:ascii="Arial" w:hAnsi="Arial" w:cs="Arial"/>
                <w:spacing w:val="-2"/>
                <w:sz w:val="20"/>
                <w:szCs w:val="20"/>
              </w:rPr>
              <w:t xml:space="preserve">Assessed the appropriateness of the identification of assets acquired and liabilities assumed at the acquisition date, and evaluated the valuers’ competency, independence and objectivity. </w:t>
            </w:r>
          </w:p>
          <w:p w:rsidR="006F2AA2" w:rsidRDefault="006F2AA2" w:rsidP="006F2AA2">
            <w:pPr>
              <w:pStyle w:val="ListParagraph"/>
              <w:ind w:left="296" w:hanging="284"/>
              <w:rPr>
                <w:rFonts w:ascii="Arial" w:hAnsi="Arial" w:cs="Arial"/>
                <w:sz w:val="20"/>
                <w:szCs w:val="20"/>
              </w:rPr>
            </w:pPr>
          </w:p>
          <w:p w:rsidR="006F2AA2" w:rsidRDefault="006F2AA2" w:rsidP="006F2AA2">
            <w:pPr>
              <w:pStyle w:val="ListParagraph"/>
              <w:numPr>
                <w:ilvl w:val="0"/>
                <w:numId w:val="6"/>
              </w:numPr>
              <w:spacing w:line="256" w:lineRule="auto"/>
              <w:ind w:left="296" w:hanging="284"/>
              <w:jc w:val="thaiDistribute"/>
              <w:rPr>
                <w:rFonts w:ascii="Arial" w:hAnsi="Arial" w:cs="Arial"/>
                <w:sz w:val="20"/>
                <w:szCs w:val="20"/>
              </w:rPr>
            </w:pPr>
            <w:r>
              <w:rPr>
                <w:rFonts w:ascii="Arial" w:hAnsi="Arial" w:cs="Arial"/>
                <w:sz w:val="20"/>
                <w:szCs w:val="20"/>
              </w:rPr>
              <w:t>Engaged an auditor’s expert to review the appropriateness and reasonableness of the fair valuation method, the estimation of the discount rate</w:t>
            </w:r>
            <w:r w:rsidR="00CF181D">
              <w:rPr>
                <w:rFonts w:ascii="Arial" w:hAnsi="Arial" w:cs="Arial"/>
                <w:sz w:val="20"/>
                <w:szCs w:val="20"/>
              </w:rPr>
              <w:t>s</w:t>
            </w:r>
            <w:r>
              <w:rPr>
                <w:rFonts w:ascii="Arial" w:hAnsi="Arial" w:cs="Arial"/>
                <w:sz w:val="20"/>
                <w:szCs w:val="20"/>
              </w:rPr>
              <w:t xml:space="preserve"> and discount factor</w:t>
            </w:r>
            <w:r w:rsidR="00CF181D">
              <w:rPr>
                <w:rFonts w:ascii="Arial" w:hAnsi="Arial" w:cs="Arial"/>
                <w:sz w:val="20"/>
                <w:szCs w:val="20"/>
              </w:rPr>
              <w:t>s</w:t>
            </w:r>
            <w:r>
              <w:rPr>
                <w:rFonts w:ascii="Arial" w:hAnsi="Arial" w:cs="Arial"/>
                <w:sz w:val="20"/>
                <w:szCs w:val="20"/>
              </w:rPr>
              <w:t>, and the model’s logic and calculations, comparing with market practice in a comparable industry.</w:t>
            </w:r>
          </w:p>
          <w:p w:rsidR="006F2AA2" w:rsidRDefault="006F2AA2" w:rsidP="006F2AA2">
            <w:pPr>
              <w:pStyle w:val="ListParagraph"/>
              <w:ind w:left="296" w:hanging="284"/>
              <w:rPr>
                <w:rFonts w:ascii="Arial" w:hAnsi="Arial" w:cs="Arial"/>
                <w:sz w:val="20"/>
                <w:szCs w:val="20"/>
              </w:rPr>
            </w:pPr>
          </w:p>
          <w:p w:rsidR="006F2AA2" w:rsidRPr="008B01E8" w:rsidRDefault="006F2AA2" w:rsidP="006F2AA2">
            <w:pPr>
              <w:pStyle w:val="ListParagraph"/>
              <w:numPr>
                <w:ilvl w:val="0"/>
                <w:numId w:val="6"/>
              </w:numPr>
              <w:spacing w:line="256" w:lineRule="auto"/>
              <w:ind w:left="296" w:hanging="284"/>
              <w:jc w:val="thaiDistribute"/>
              <w:rPr>
                <w:rFonts w:ascii="Arial" w:hAnsi="Arial" w:cs="Arial"/>
                <w:sz w:val="20"/>
                <w:szCs w:val="20"/>
              </w:rPr>
            </w:pPr>
            <w:r>
              <w:rPr>
                <w:rFonts w:ascii="Arial" w:hAnsi="Arial" w:cs="Arial"/>
                <w:spacing w:val="-4"/>
                <w:sz w:val="20"/>
                <w:szCs w:val="20"/>
              </w:rPr>
              <w:t>Evaluated the reasonableness of key assumptions used to assess the fair value of net assets</w:t>
            </w:r>
            <w:r>
              <w:rPr>
                <w:rFonts w:ascii="Arial" w:hAnsi="Arial"/>
                <w:spacing w:val="-4"/>
                <w:sz w:val="20"/>
                <w:szCs w:val="20"/>
              </w:rPr>
              <w:t xml:space="preserve"> acquired</w:t>
            </w:r>
            <w:r>
              <w:rPr>
                <w:rFonts w:ascii="Arial" w:hAnsi="Arial" w:cs="Arial"/>
                <w:spacing w:val="-4"/>
                <w:sz w:val="20"/>
                <w:szCs w:val="20"/>
              </w:rPr>
              <w:t xml:space="preserve"> </w:t>
            </w:r>
            <w:r w:rsidRPr="008B01E8">
              <w:rPr>
                <w:rFonts w:ascii="Arial" w:hAnsi="Arial" w:cs="Arial"/>
                <w:sz w:val="20"/>
                <w:szCs w:val="20"/>
              </w:rPr>
              <w:t xml:space="preserve">by comparing to the relative contracts, ATP’s historical data, market data in a comparable industry and ATP’s business plan. </w:t>
            </w:r>
          </w:p>
          <w:p w:rsidR="006F2AA2" w:rsidRDefault="006F2AA2" w:rsidP="006F2AA2">
            <w:pPr>
              <w:pStyle w:val="ListParagraph"/>
              <w:ind w:left="296" w:hanging="284"/>
              <w:rPr>
                <w:rFonts w:ascii="Arial" w:hAnsi="Arial" w:cs="Arial"/>
                <w:sz w:val="20"/>
                <w:szCs w:val="20"/>
              </w:rPr>
            </w:pPr>
          </w:p>
          <w:p w:rsidR="006F2AA2" w:rsidRDefault="006F2AA2" w:rsidP="006F2AA2">
            <w:pPr>
              <w:pStyle w:val="ListParagraph"/>
              <w:numPr>
                <w:ilvl w:val="0"/>
                <w:numId w:val="6"/>
              </w:numPr>
              <w:spacing w:line="256" w:lineRule="auto"/>
              <w:ind w:left="296" w:hanging="284"/>
              <w:jc w:val="thaiDistribute"/>
              <w:rPr>
                <w:rFonts w:ascii="Arial" w:hAnsi="Arial"/>
                <w:sz w:val="20"/>
                <w:szCs w:val="20"/>
              </w:rPr>
            </w:pPr>
            <w:r>
              <w:rPr>
                <w:rFonts w:ascii="Arial" w:hAnsi="Arial" w:cs="Arial"/>
                <w:sz w:val="20"/>
                <w:szCs w:val="20"/>
              </w:rPr>
              <w:t xml:space="preserve">Tested the calculation of the goodwill arising </w:t>
            </w:r>
            <w:r w:rsidRPr="008B01E8">
              <w:rPr>
                <w:rFonts w:ascii="Arial" w:hAnsi="Arial" w:cs="Arial"/>
                <w:spacing w:val="-4"/>
                <w:sz w:val="20"/>
                <w:szCs w:val="20"/>
              </w:rPr>
              <w:t>from the acquisition,</w:t>
            </w:r>
            <w:r w:rsidRPr="008B01E8">
              <w:rPr>
                <w:spacing w:val="-4"/>
              </w:rPr>
              <w:t xml:space="preserve"> </w:t>
            </w:r>
            <w:r w:rsidRPr="008B01E8">
              <w:rPr>
                <w:rFonts w:ascii="Arial" w:hAnsi="Arial" w:cs="Arial"/>
                <w:spacing w:val="-4"/>
                <w:sz w:val="20"/>
                <w:szCs w:val="20"/>
              </w:rPr>
              <w:t>being the difference between</w:t>
            </w:r>
            <w:r>
              <w:rPr>
                <w:rFonts w:ascii="Arial" w:hAnsi="Arial" w:cs="Arial"/>
                <w:sz w:val="20"/>
                <w:szCs w:val="20"/>
              </w:rPr>
              <w:t xml:space="preserve"> the total purchase consideration and the fair value of the net identifiable assets.</w:t>
            </w:r>
          </w:p>
          <w:p w:rsidR="006F2AA2" w:rsidRDefault="006F2AA2" w:rsidP="006F2AA2">
            <w:pPr>
              <w:pStyle w:val="ListParagraph"/>
              <w:ind w:left="296" w:hanging="284"/>
              <w:rPr>
                <w:rFonts w:ascii="Arial" w:hAnsi="Arial" w:cs="Arial"/>
                <w:sz w:val="20"/>
                <w:szCs w:val="20"/>
              </w:rPr>
            </w:pPr>
          </w:p>
          <w:p w:rsidR="006F2AA2" w:rsidRDefault="006F2AA2" w:rsidP="006F2AA2">
            <w:pPr>
              <w:pStyle w:val="ListParagraph"/>
              <w:numPr>
                <w:ilvl w:val="0"/>
                <w:numId w:val="6"/>
              </w:numPr>
              <w:spacing w:line="256" w:lineRule="auto"/>
              <w:ind w:left="296" w:hanging="284"/>
              <w:jc w:val="thaiDistribute"/>
              <w:rPr>
                <w:rFonts w:ascii="Arial" w:hAnsi="Arial"/>
                <w:sz w:val="20"/>
                <w:szCs w:val="20"/>
              </w:rPr>
            </w:pPr>
            <w:r>
              <w:rPr>
                <w:rFonts w:ascii="Arial" w:hAnsi="Arial" w:cs="Arial"/>
                <w:sz w:val="20"/>
                <w:szCs w:val="20"/>
              </w:rPr>
              <w:t xml:space="preserve">Evaluated the appropriateness of the accounting treatment and the adequacy of the disclosures made in notes to the financial statements. </w:t>
            </w:r>
          </w:p>
          <w:p w:rsidR="006F2AA2" w:rsidRDefault="006F2AA2" w:rsidP="006F2AA2">
            <w:pPr>
              <w:jc w:val="thaiDistribute"/>
              <w:rPr>
                <w:rFonts w:ascii="Arial" w:hAnsi="Arial" w:cs="Arial"/>
                <w:sz w:val="20"/>
                <w:szCs w:val="20"/>
              </w:rPr>
            </w:pPr>
          </w:p>
          <w:p w:rsidR="006F2AA2" w:rsidRDefault="006F2AA2" w:rsidP="006F2AA2">
            <w:pPr>
              <w:jc w:val="thaiDistribute"/>
              <w:rPr>
                <w:rFonts w:ascii="Arial" w:hAnsi="Arial" w:cs="Arial"/>
                <w:sz w:val="20"/>
                <w:szCs w:val="20"/>
              </w:rPr>
            </w:pPr>
            <w:r>
              <w:rPr>
                <w:rFonts w:ascii="Arial" w:hAnsi="Arial" w:cs="Arial"/>
                <w:sz w:val="20"/>
                <w:szCs w:val="20"/>
              </w:rPr>
              <w:t xml:space="preserve">From the above procedures, I noted </w:t>
            </w:r>
            <w:r w:rsidR="00382D83">
              <w:rPr>
                <w:rFonts w:ascii="Arial" w:hAnsi="Arial" w:cs="Arial"/>
                <w:sz w:val="20"/>
                <w:szCs w:val="20"/>
              </w:rPr>
              <w:t>that</w:t>
            </w:r>
            <w:r>
              <w:rPr>
                <w:rFonts w:ascii="Arial" w:hAnsi="Arial" w:cs="Arial"/>
                <w:sz w:val="20"/>
                <w:szCs w:val="20"/>
              </w:rPr>
              <w:t xml:space="preserve"> the purchase price allocation</w:t>
            </w:r>
            <w:r w:rsidR="00382D83">
              <w:rPr>
                <w:rFonts w:ascii="Arial" w:hAnsi="Arial" w:cs="Arial"/>
                <w:sz w:val="20"/>
                <w:szCs w:val="20"/>
              </w:rPr>
              <w:t xml:space="preserve"> was made in accordance with TFRS3</w:t>
            </w:r>
            <w:r>
              <w:rPr>
                <w:rFonts w:ascii="Arial" w:hAnsi="Arial" w:cs="Arial"/>
                <w:sz w:val="20"/>
                <w:szCs w:val="20"/>
              </w:rPr>
              <w:t>. In addition, management’s key assumptions used in assessing the fair value of the net assets acquired were reasonable based on the available evidence.</w:t>
            </w:r>
          </w:p>
          <w:p w:rsidR="00240078" w:rsidRPr="008B01E8" w:rsidRDefault="00240078" w:rsidP="00D76813">
            <w:pPr>
              <w:pStyle w:val="Default"/>
              <w:jc w:val="thaiDistribute"/>
              <w:rPr>
                <w:color w:val="000000" w:themeColor="text1"/>
                <w:sz w:val="12"/>
                <w:szCs w:val="12"/>
              </w:rPr>
            </w:pPr>
          </w:p>
        </w:tc>
      </w:tr>
      <w:tr w:rsidR="006E3CD2" w:rsidRPr="002757B2" w:rsidTr="008B01E8">
        <w:tc>
          <w:tcPr>
            <w:tcW w:w="4392" w:type="dxa"/>
            <w:tcBorders>
              <w:bottom w:val="dotted" w:sz="4" w:space="0" w:color="ED8731"/>
            </w:tcBorders>
            <w:shd w:val="clear" w:color="auto" w:fill="auto"/>
          </w:tcPr>
          <w:p w:rsidR="00240078" w:rsidRPr="008B01E8" w:rsidRDefault="00240078" w:rsidP="00D76813">
            <w:pPr>
              <w:pStyle w:val="Default"/>
              <w:ind w:right="244"/>
              <w:jc w:val="thaiDistribute"/>
              <w:rPr>
                <w:color w:val="000000" w:themeColor="text1"/>
                <w:sz w:val="12"/>
                <w:szCs w:val="12"/>
              </w:rPr>
            </w:pPr>
          </w:p>
        </w:tc>
        <w:tc>
          <w:tcPr>
            <w:tcW w:w="4815" w:type="dxa"/>
            <w:gridSpan w:val="2"/>
            <w:tcBorders>
              <w:bottom w:val="dotted" w:sz="4" w:space="0" w:color="ED8731"/>
            </w:tcBorders>
            <w:shd w:val="clear" w:color="auto" w:fill="FAFAFA"/>
          </w:tcPr>
          <w:p w:rsidR="00240078" w:rsidRPr="008B01E8" w:rsidRDefault="00240078" w:rsidP="00D76813">
            <w:pPr>
              <w:pStyle w:val="Default"/>
              <w:jc w:val="thaiDistribute"/>
              <w:rPr>
                <w:color w:val="000000" w:themeColor="text1"/>
                <w:sz w:val="12"/>
                <w:szCs w:val="12"/>
              </w:rPr>
            </w:pPr>
          </w:p>
        </w:tc>
      </w:tr>
    </w:tbl>
    <w:p w:rsidR="006F2AA2" w:rsidRDefault="006F2AA2" w:rsidP="00240078">
      <w:pPr>
        <w:pStyle w:val="Header"/>
        <w:jc w:val="both"/>
        <w:rPr>
          <w:rFonts w:ascii="Arial" w:hAnsi="Arial" w:cs="Arial"/>
          <w:b/>
          <w:bCs/>
          <w:color w:val="000000" w:themeColor="text1"/>
          <w:sz w:val="20"/>
          <w:szCs w:val="20"/>
        </w:rPr>
      </w:pPr>
    </w:p>
    <w:p w:rsidR="006F2AA2" w:rsidRDefault="006F2AA2">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9"/>
        <w:gridCol w:w="4788"/>
      </w:tblGrid>
      <w:tr w:rsidR="006F2AA2" w:rsidRPr="002757B2" w:rsidTr="008B01E8">
        <w:trPr>
          <w:trHeight w:val="346"/>
        </w:trPr>
        <w:tc>
          <w:tcPr>
            <w:tcW w:w="4419" w:type="dxa"/>
            <w:shd w:val="clear" w:color="auto" w:fill="FFA543"/>
            <w:vAlign w:val="center"/>
          </w:tcPr>
          <w:p w:rsidR="006F2AA2" w:rsidRPr="00A92691" w:rsidRDefault="006F2AA2" w:rsidP="00AE632A">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r w:rsidR="00D30590">
              <w:rPr>
                <w:b/>
                <w:bCs/>
                <w:color w:val="FFFFFF" w:themeColor="background1"/>
                <w:sz w:val="20"/>
                <w:szCs w:val="20"/>
              </w:rPr>
              <w:t>s</w:t>
            </w:r>
          </w:p>
        </w:tc>
        <w:tc>
          <w:tcPr>
            <w:tcW w:w="4788" w:type="dxa"/>
            <w:shd w:val="clear" w:color="auto" w:fill="FFA543"/>
            <w:vAlign w:val="center"/>
          </w:tcPr>
          <w:p w:rsidR="006F2AA2" w:rsidRPr="00A92691" w:rsidRDefault="006F2AA2" w:rsidP="00AE632A">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6F2AA2" w:rsidRPr="002757B2" w:rsidTr="008B01E8">
        <w:tc>
          <w:tcPr>
            <w:tcW w:w="4419" w:type="dxa"/>
            <w:tcBorders>
              <w:top w:val="dotted" w:sz="4" w:space="0" w:color="ED8731"/>
            </w:tcBorders>
            <w:shd w:val="clear" w:color="auto" w:fill="auto"/>
          </w:tcPr>
          <w:p w:rsidR="006F2AA2" w:rsidRPr="00D52E07" w:rsidRDefault="006F2AA2" w:rsidP="008B01E8">
            <w:pPr>
              <w:pStyle w:val="Default"/>
              <w:ind w:right="14"/>
              <w:jc w:val="thaiDistribute"/>
              <w:rPr>
                <w:b/>
                <w:bCs/>
                <w:i/>
                <w:iCs/>
                <w:color w:val="000000" w:themeColor="text1"/>
                <w:sz w:val="12"/>
                <w:szCs w:val="12"/>
              </w:rPr>
            </w:pPr>
          </w:p>
          <w:p w:rsidR="006F2AA2" w:rsidRDefault="006F2AA2" w:rsidP="008B01E8">
            <w:pPr>
              <w:pStyle w:val="Default"/>
              <w:ind w:right="14"/>
              <w:jc w:val="thaiDistribute"/>
              <w:rPr>
                <w:b/>
                <w:bCs/>
                <w:i/>
                <w:iCs/>
                <w:color w:val="000000" w:themeColor="text1"/>
                <w:sz w:val="20"/>
                <w:szCs w:val="20"/>
              </w:rPr>
            </w:pPr>
            <w:r w:rsidRPr="008B01E8">
              <w:rPr>
                <w:rFonts w:ascii="Arial Bold" w:hAnsi="Arial Bold"/>
                <w:b/>
                <w:bCs/>
                <w:i/>
                <w:iCs/>
                <w:color w:val="000000" w:themeColor="text1"/>
                <w:spacing w:val="-2"/>
                <w:sz w:val="20"/>
                <w:szCs w:val="20"/>
              </w:rPr>
              <w:t>Hedge accounting for cross</w:t>
            </w:r>
            <w:r w:rsidR="00A966DA" w:rsidRPr="008B01E8">
              <w:rPr>
                <w:rFonts w:ascii="Arial Bold" w:hAnsi="Arial Bold"/>
                <w:b/>
                <w:bCs/>
                <w:i/>
                <w:iCs/>
                <w:color w:val="000000" w:themeColor="text1"/>
                <w:spacing w:val="-2"/>
                <w:sz w:val="20"/>
                <w:szCs w:val="20"/>
              </w:rPr>
              <w:t xml:space="preserve"> </w:t>
            </w:r>
            <w:r w:rsidRPr="008B01E8">
              <w:rPr>
                <w:rFonts w:ascii="Arial Bold" w:hAnsi="Arial Bold"/>
                <w:b/>
                <w:bCs/>
                <w:i/>
                <w:iCs/>
                <w:color w:val="000000" w:themeColor="text1"/>
                <w:spacing w:val="-2"/>
                <w:sz w:val="20"/>
                <w:szCs w:val="20"/>
              </w:rPr>
              <w:t>currency interest</w:t>
            </w:r>
            <w:r w:rsidRPr="006F2AA2">
              <w:rPr>
                <w:b/>
                <w:bCs/>
                <w:i/>
                <w:iCs/>
                <w:color w:val="000000" w:themeColor="text1"/>
                <w:sz w:val="20"/>
                <w:szCs w:val="20"/>
              </w:rPr>
              <w:t xml:space="preserve"> rate swap contracts </w:t>
            </w:r>
          </w:p>
          <w:p w:rsidR="006F2AA2" w:rsidRPr="008B01E8" w:rsidRDefault="006F2AA2" w:rsidP="008B01E8">
            <w:pPr>
              <w:pStyle w:val="Default"/>
              <w:ind w:right="14"/>
              <w:jc w:val="thaiDistribute"/>
              <w:rPr>
                <w:b/>
                <w:bCs/>
                <w:color w:val="000000" w:themeColor="text1"/>
                <w:sz w:val="12"/>
                <w:szCs w:val="12"/>
              </w:rPr>
            </w:pPr>
          </w:p>
        </w:tc>
        <w:tc>
          <w:tcPr>
            <w:tcW w:w="4788" w:type="dxa"/>
            <w:tcBorders>
              <w:top w:val="dotted" w:sz="4" w:space="0" w:color="ED8731"/>
            </w:tcBorders>
            <w:shd w:val="clear" w:color="auto" w:fill="FAFAFA"/>
          </w:tcPr>
          <w:p w:rsidR="006F2AA2" w:rsidRPr="002757B2" w:rsidRDefault="006F2AA2" w:rsidP="00AE632A">
            <w:pPr>
              <w:pStyle w:val="Default"/>
              <w:jc w:val="thaiDistribute"/>
              <w:rPr>
                <w:color w:val="000000" w:themeColor="text1"/>
                <w:sz w:val="20"/>
                <w:szCs w:val="20"/>
              </w:rPr>
            </w:pPr>
          </w:p>
        </w:tc>
      </w:tr>
      <w:tr w:rsidR="006F2AA2" w:rsidRPr="002757B2" w:rsidTr="008B01E8">
        <w:tc>
          <w:tcPr>
            <w:tcW w:w="4419" w:type="dxa"/>
            <w:shd w:val="clear" w:color="auto" w:fill="auto"/>
          </w:tcPr>
          <w:p w:rsidR="006F2AA2" w:rsidRPr="00A966DA" w:rsidRDefault="006F2AA2" w:rsidP="008B01E8">
            <w:pPr>
              <w:pStyle w:val="Default"/>
              <w:ind w:right="14"/>
              <w:jc w:val="both"/>
              <w:rPr>
                <w:color w:val="000000" w:themeColor="text1"/>
                <w:spacing w:val="-2"/>
                <w:sz w:val="20"/>
                <w:szCs w:val="20"/>
              </w:rPr>
            </w:pPr>
            <w:r w:rsidRPr="00A966DA">
              <w:rPr>
                <w:color w:val="000000" w:themeColor="text1"/>
                <w:spacing w:val="-2"/>
                <w:sz w:val="20"/>
                <w:szCs w:val="20"/>
              </w:rPr>
              <w:t xml:space="preserve">Referring to Note </w:t>
            </w:r>
            <w:r w:rsidR="00A966DA" w:rsidRPr="00A966DA">
              <w:rPr>
                <w:color w:val="000000" w:themeColor="text1"/>
                <w:spacing w:val="-2"/>
                <w:sz w:val="20"/>
                <w:szCs w:val="20"/>
              </w:rPr>
              <w:t>6</w:t>
            </w:r>
            <w:r w:rsidRPr="00A966DA">
              <w:rPr>
                <w:color w:val="000000" w:themeColor="text1"/>
                <w:spacing w:val="-2"/>
                <w:sz w:val="20"/>
                <w:szCs w:val="20"/>
              </w:rPr>
              <w:t xml:space="preserve"> ‘Financial risk management’.</w:t>
            </w:r>
          </w:p>
          <w:p w:rsidR="006F2AA2" w:rsidRPr="00A966DA" w:rsidRDefault="006F2AA2" w:rsidP="008B01E8">
            <w:pPr>
              <w:pStyle w:val="Default"/>
              <w:ind w:right="14"/>
              <w:jc w:val="thaiDistribute"/>
              <w:rPr>
                <w:color w:val="000000" w:themeColor="text1"/>
                <w:spacing w:val="-2"/>
                <w:sz w:val="20"/>
                <w:szCs w:val="20"/>
              </w:rPr>
            </w:pPr>
          </w:p>
          <w:p w:rsidR="006F2AA2" w:rsidRPr="00A966DA" w:rsidRDefault="006F2AA2" w:rsidP="008B01E8">
            <w:pPr>
              <w:pStyle w:val="Default"/>
              <w:ind w:right="14"/>
              <w:jc w:val="thaiDistribute"/>
              <w:rPr>
                <w:color w:val="000000" w:themeColor="text1"/>
                <w:spacing w:val="-2"/>
                <w:sz w:val="20"/>
                <w:szCs w:val="20"/>
              </w:rPr>
            </w:pPr>
            <w:r w:rsidRPr="008B01E8">
              <w:rPr>
                <w:color w:val="000000" w:themeColor="text1"/>
                <w:spacing w:val="-8"/>
                <w:sz w:val="20"/>
                <w:szCs w:val="20"/>
              </w:rPr>
              <w:t>The Group is exposed to foreign currency exchange</w:t>
            </w:r>
            <w:r w:rsidRPr="00A966DA">
              <w:rPr>
                <w:color w:val="000000" w:themeColor="text1"/>
                <w:spacing w:val="-2"/>
                <w:sz w:val="20"/>
                <w:szCs w:val="20"/>
              </w:rPr>
              <w:t xml:space="preserve"> risk arising from USD-linked revenue, and uses cross</w:t>
            </w:r>
            <w:r w:rsidR="00A966DA" w:rsidRPr="00A966DA">
              <w:rPr>
                <w:color w:val="000000" w:themeColor="text1"/>
                <w:spacing w:val="-2"/>
                <w:sz w:val="20"/>
                <w:szCs w:val="20"/>
              </w:rPr>
              <w:t xml:space="preserve"> </w:t>
            </w:r>
            <w:r w:rsidRPr="00A966DA">
              <w:rPr>
                <w:color w:val="000000" w:themeColor="text1"/>
                <w:spacing w:val="-2"/>
                <w:sz w:val="20"/>
                <w:szCs w:val="20"/>
              </w:rPr>
              <w:t xml:space="preserve">currency interest rate swap contracts to manage and hedge this risk. Under TFRS 9 - </w:t>
            </w:r>
            <w:r w:rsidRPr="008B01E8">
              <w:rPr>
                <w:color w:val="000000" w:themeColor="text1"/>
                <w:spacing w:val="-6"/>
                <w:sz w:val="20"/>
                <w:szCs w:val="20"/>
              </w:rPr>
              <w:t>Financial Instruments, the contracts are designated</w:t>
            </w:r>
            <w:r w:rsidRPr="00A966DA">
              <w:rPr>
                <w:color w:val="000000" w:themeColor="text1"/>
                <w:spacing w:val="-2"/>
                <w:sz w:val="20"/>
                <w:szCs w:val="20"/>
              </w:rPr>
              <w:t xml:space="preserve"> </w:t>
            </w:r>
            <w:r w:rsidRPr="008B01E8">
              <w:rPr>
                <w:color w:val="000000" w:themeColor="text1"/>
                <w:spacing w:val="-6"/>
                <w:sz w:val="20"/>
                <w:szCs w:val="20"/>
              </w:rPr>
              <w:t>as hedge derivative, qualified as cash flow hedges.</w:t>
            </w:r>
          </w:p>
          <w:p w:rsidR="006F2AA2" w:rsidRPr="00A966DA" w:rsidRDefault="006F2AA2" w:rsidP="008B01E8">
            <w:pPr>
              <w:pStyle w:val="Default"/>
              <w:ind w:right="14"/>
              <w:jc w:val="thaiDistribute"/>
              <w:rPr>
                <w:color w:val="000000" w:themeColor="text1"/>
                <w:spacing w:val="-2"/>
                <w:sz w:val="20"/>
                <w:szCs w:val="20"/>
              </w:rPr>
            </w:pPr>
          </w:p>
          <w:p w:rsidR="006F2AA2" w:rsidRPr="00A966DA" w:rsidRDefault="006F2AA2" w:rsidP="008B01E8">
            <w:pPr>
              <w:pStyle w:val="Default"/>
              <w:ind w:right="14"/>
              <w:jc w:val="thaiDistribute"/>
              <w:rPr>
                <w:color w:val="000000" w:themeColor="text1"/>
                <w:spacing w:val="-2"/>
                <w:sz w:val="20"/>
                <w:szCs w:val="20"/>
              </w:rPr>
            </w:pPr>
            <w:r w:rsidRPr="00A966DA">
              <w:rPr>
                <w:color w:val="000000" w:themeColor="text1"/>
                <w:spacing w:val="-2"/>
                <w:sz w:val="20"/>
                <w:szCs w:val="20"/>
              </w:rPr>
              <w:t>The cross</w:t>
            </w:r>
            <w:r w:rsidR="00A966DA" w:rsidRPr="00A966DA">
              <w:rPr>
                <w:color w:val="000000" w:themeColor="text1"/>
                <w:spacing w:val="-2"/>
                <w:sz w:val="20"/>
                <w:szCs w:val="20"/>
              </w:rPr>
              <w:t xml:space="preserve"> </w:t>
            </w:r>
            <w:r w:rsidRPr="00A966DA">
              <w:rPr>
                <w:color w:val="000000" w:themeColor="text1"/>
                <w:spacing w:val="-2"/>
                <w:sz w:val="20"/>
                <w:szCs w:val="20"/>
              </w:rPr>
              <w:t xml:space="preserve">currency interest rate swap contracts are measured at fair value, based on valuation models using observable input data. As at </w:t>
            </w:r>
            <w:r w:rsidR="008B01E8">
              <w:rPr>
                <w:color w:val="000000" w:themeColor="text1"/>
                <w:spacing w:val="-2"/>
                <w:sz w:val="20"/>
                <w:szCs w:val="20"/>
              </w:rPr>
              <w:br/>
            </w:r>
            <w:r w:rsidRPr="00A966DA">
              <w:rPr>
                <w:color w:val="000000" w:themeColor="text1"/>
                <w:spacing w:val="-2"/>
                <w:sz w:val="20"/>
                <w:szCs w:val="20"/>
              </w:rPr>
              <w:t xml:space="preserve">31 December 2020, the Group has recognised derivative assets of Baht </w:t>
            </w:r>
            <w:r w:rsidR="00A966DA">
              <w:rPr>
                <w:color w:val="000000" w:themeColor="text1"/>
                <w:spacing w:val="-2"/>
                <w:sz w:val="20"/>
                <w:szCs w:val="20"/>
              </w:rPr>
              <w:t>432.46</w:t>
            </w:r>
            <w:r w:rsidRPr="00A966DA">
              <w:rPr>
                <w:color w:val="000000" w:themeColor="text1"/>
                <w:spacing w:val="-2"/>
                <w:sz w:val="20"/>
                <w:szCs w:val="20"/>
              </w:rPr>
              <w:t xml:space="preserve"> million and derivative liabilities of Baht </w:t>
            </w:r>
            <w:r w:rsidR="00A966DA">
              <w:rPr>
                <w:color w:val="000000" w:themeColor="text1"/>
                <w:spacing w:val="-2"/>
                <w:sz w:val="20"/>
                <w:szCs w:val="20"/>
              </w:rPr>
              <w:t>3,453.65</w:t>
            </w:r>
            <w:r w:rsidRPr="00A966DA">
              <w:rPr>
                <w:color w:val="000000" w:themeColor="text1"/>
                <w:spacing w:val="-2"/>
                <w:sz w:val="20"/>
                <w:szCs w:val="20"/>
              </w:rPr>
              <w:t xml:space="preserve"> million from the fair value of these contracts. The hedge effective portion of changes in fair value of derivatives is recognised in equity.</w:t>
            </w:r>
          </w:p>
          <w:p w:rsidR="006F2AA2" w:rsidRPr="00A966DA" w:rsidRDefault="006F2AA2" w:rsidP="008B01E8">
            <w:pPr>
              <w:pStyle w:val="Default"/>
              <w:ind w:right="14"/>
              <w:jc w:val="thaiDistribute"/>
              <w:rPr>
                <w:color w:val="000000" w:themeColor="text1"/>
                <w:spacing w:val="-2"/>
                <w:sz w:val="20"/>
                <w:szCs w:val="20"/>
              </w:rPr>
            </w:pPr>
          </w:p>
          <w:p w:rsidR="006F2AA2" w:rsidRPr="002757B2" w:rsidRDefault="006F2AA2" w:rsidP="008B01E8">
            <w:pPr>
              <w:pStyle w:val="Default"/>
              <w:ind w:right="14"/>
              <w:jc w:val="thaiDistribute"/>
              <w:rPr>
                <w:color w:val="000000" w:themeColor="text1"/>
                <w:sz w:val="20"/>
                <w:szCs w:val="20"/>
              </w:rPr>
            </w:pPr>
            <w:r w:rsidRPr="008B01E8">
              <w:rPr>
                <w:color w:val="000000" w:themeColor="text1"/>
                <w:spacing w:val="-4"/>
                <w:sz w:val="20"/>
                <w:szCs w:val="20"/>
              </w:rPr>
              <w:t>I focused on this matter because the identification</w:t>
            </w:r>
            <w:r w:rsidRPr="00A966DA">
              <w:rPr>
                <w:color w:val="000000" w:themeColor="text1"/>
                <w:spacing w:val="-2"/>
                <w:sz w:val="20"/>
                <w:szCs w:val="20"/>
              </w:rPr>
              <w:t xml:space="preserve"> of hedged items and hedging instruments, as well as the assessment of hedge effectiveness, </w:t>
            </w:r>
            <w:r w:rsidRPr="008B01E8">
              <w:rPr>
                <w:color w:val="000000" w:themeColor="text1"/>
                <w:spacing w:val="-6"/>
                <w:sz w:val="20"/>
                <w:szCs w:val="20"/>
              </w:rPr>
              <w:t>involved</w:t>
            </w:r>
            <w:r w:rsidR="00A966DA" w:rsidRPr="008B01E8">
              <w:rPr>
                <w:color w:val="000000" w:themeColor="text1"/>
                <w:spacing w:val="-6"/>
                <w:sz w:val="20"/>
                <w:szCs w:val="20"/>
              </w:rPr>
              <w:t xml:space="preserve"> </w:t>
            </w:r>
            <w:r w:rsidRPr="008B01E8">
              <w:rPr>
                <w:color w:val="000000" w:themeColor="text1"/>
                <w:spacing w:val="-6"/>
                <w:sz w:val="20"/>
                <w:szCs w:val="20"/>
              </w:rPr>
              <w:t>management's judgement and estimation.</w:t>
            </w:r>
            <w:r w:rsidRPr="00A966DA">
              <w:rPr>
                <w:color w:val="000000" w:themeColor="text1"/>
                <w:spacing w:val="-2"/>
                <w:sz w:val="20"/>
                <w:szCs w:val="20"/>
              </w:rPr>
              <w:t xml:space="preserve"> </w:t>
            </w:r>
            <w:r w:rsidRPr="008B01E8">
              <w:rPr>
                <w:color w:val="000000" w:themeColor="text1"/>
                <w:spacing w:val="-6"/>
                <w:sz w:val="20"/>
                <w:szCs w:val="20"/>
              </w:rPr>
              <w:t>In addition, the changes in fair value of derivatives</w:t>
            </w:r>
            <w:r w:rsidRPr="00A966DA">
              <w:rPr>
                <w:color w:val="000000" w:themeColor="text1"/>
                <w:spacing w:val="-2"/>
                <w:sz w:val="20"/>
                <w:szCs w:val="20"/>
              </w:rPr>
              <w:t xml:space="preserve"> and the </w:t>
            </w:r>
            <w:r w:rsidR="006250CE">
              <w:rPr>
                <w:color w:val="000000" w:themeColor="text1"/>
                <w:spacing w:val="-2"/>
                <w:sz w:val="20"/>
                <w:szCs w:val="20"/>
              </w:rPr>
              <w:t xml:space="preserve">related </w:t>
            </w:r>
            <w:r w:rsidRPr="00A966DA">
              <w:rPr>
                <w:color w:val="000000" w:themeColor="text1"/>
                <w:spacing w:val="-2"/>
                <w:sz w:val="20"/>
                <w:szCs w:val="20"/>
              </w:rPr>
              <w:t>accounting treatment have significant impact on the consolidated financial statements.</w:t>
            </w:r>
          </w:p>
        </w:tc>
        <w:tc>
          <w:tcPr>
            <w:tcW w:w="4788" w:type="dxa"/>
            <w:shd w:val="clear" w:color="auto" w:fill="FAFAFA"/>
          </w:tcPr>
          <w:p w:rsidR="006F2AA2" w:rsidRPr="006F2AA2" w:rsidRDefault="006F2AA2" w:rsidP="008B01E8">
            <w:pPr>
              <w:pStyle w:val="Default"/>
              <w:ind w:right="-14"/>
              <w:jc w:val="thaiDistribute"/>
              <w:rPr>
                <w:color w:val="000000" w:themeColor="text1"/>
                <w:sz w:val="20"/>
                <w:szCs w:val="20"/>
              </w:rPr>
            </w:pPr>
            <w:r w:rsidRPr="006F2AA2">
              <w:rPr>
                <w:color w:val="000000" w:themeColor="text1"/>
                <w:sz w:val="20"/>
                <w:szCs w:val="20"/>
              </w:rPr>
              <w:t>I performed the following procedures in auditing this matter.</w:t>
            </w:r>
          </w:p>
          <w:p w:rsidR="006F2AA2" w:rsidRPr="006F2AA2" w:rsidRDefault="006F2AA2" w:rsidP="008B01E8">
            <w:pPr>
              <w:pStyle w:val="Default"/>
              <w:ind w:right="-14"/>
              <w:jc w:val="thaiDistribute"/>
              <w:rPr>
                <w:color w:val="000000" w:themeColor="text1"/>
                <w:sz w:val="20"/>
                <w:szCs w:val="20"/>
              </w:rPr>
            </w:pPr>
          </w:p>
          <w:p w:rsidR="006F2AA2" w:rsidRPr="006F2AA2" w:rsidRDefault="006F2AA2" w:rsidP="008B01E8">
            <w:pPr>
              <w:pStyle w:val="Default"/>
              <w:ind w:right="-14"/>
              <w:jc w:val="thaiDistribute"/>
              <w:rPr>
                <w:color w:val="000000" w:themeColor="text1"/>
                <w:sz w:val="20"/>
                <w:szCs w:val="20"/>
              </w:rPr>
            </w:pPr>
            <w:r w:rsidRPr="006F2AA2">
              <w:rPr>
                <w:color w:val="000000" w:themeColor="text1"/>
                <w:sz w:val="20"/>
                <w:szCs w:val="20"/>
              </w:rPr>
              <w:t>Obtained an understanding of the Group’s risk management strategy and accounting polic</w:t>
            </w:r>
            <w:r w:rsidR="00A01CD7">
              <w:rPr>
                <w:color w:val="000000" w:themeColor="text1"/>
                <w:sz w:val="20"/>
                <w:szCs w:val="20"/>
              </w:rPr>
              <w:t>ies</w:t>
            </w:r>
            <w:r w:rsidRPr="006F2AA2">
              <w:rPr>
                <w:color w:val="000000" w:themeColor="text1"/>
                <w:sz w:val="20"/>
                <w:szCs w:val="20"/>
              </w:rPr>
              <w:t xml:space="preserve"> for hedging activities on foreign currency exchange risk.</w:t>
            </w:r>
          </w:p>
          <w:p w:rsidR="006F2AA2" w:rsidRPr="006F2AA2" w:rsidRDefault="006F2AA2" w:rsidP="008B01E8">
            <w:pPr>
              <w:pStyle w:val="Default"/>
              <w:ind w:right="-14"/>
              <w:jc w:val="thaiDistribute"/>
              <w:rPr>
                <w:color w:val="000000" w:themeColor="text1"/>
                <w:sz w:val="20"/>
                <w:szCs w:val="20"/>
              </w:rPr>
            </w:pPr>
          </w:p>
          <w:p w:rsidR="006F2AA2" w:rsidRPr="006F2AA2" w:rsidRDefault="006F2AA2" w:rsidP="008B01E8">
            <w:pPr>
              <w:pStyle w:val="Default"/>
              <w:ind w:right="-14"/>
              <w:jc w:val="thaiDistribute"/>
              <w:rPr>
                <w:color w:val="000000" w:themeColor="text1"/>
                <w:sz w:val="20"/>
                <w:szCs w:val="20"/>
              </w:rPr>
            </w:pPr>
            <w:r w:rsidRPr="008B01E8">
              <w:rPr>
                <w:color w:val="000000" w:themeColor="text1"/>
                <w:spacing w:val="-6"/>
                <w:sz w:val="20"/>
                <w:szCs w:val="20"/>
              </w:rPr>
              <w:t>Evaluated the appropriateness of identifying hedging</w:t>
            </w:r>
            <w:r w:rsidRPr="006F2AA2">
              <w:rPr>
                <w:color w:val="000000" w:themeColor="text1"/>
                <w:sz w:val="20"/>
                <w:szCs w:val="20"/>
              </w:rPr>
              <w:t xml:space="preserve"> instruments to match with hedged items.</w:t>
            </w:r>
          </w:p>
          <w:p w:rsidR="006F2AA2" w:rsidRPr="006F2AA2" w:rsidRDefault="006F2AA2" w:rsidP="008B01E8">
            <w:pPr>
              <w:pStyle w:val="Default"/>
              <w:ind w:right="-14"/>
              <w:jc w:val="thaiDistribute"/>
              <w:rPr>
                <w:color w:val="000000" w:themeColor="text1"/>
                <w:sz w:val="20"/>
                <w:szCs w:val="20"/>
              </w:rPr>
            </w:pPr>
          </w:p>
          <w:p w:rsidR="006F2AA2" w:rsidRPr="006F2AA2" w:rsidRDefault="006F2AA2" w:rsidP="008B01E8">
            <w:pPr>
              <w:pStyle w:val="Default"/>
              <w:ind w:right="-14"/>
              <w:jc w:val="thaiDistribute"/>
              <w:rPr>
                <w:color w:val="000000" w:themeColor="text1"/>
                <w:sz w:val="20"/>
                <w:szCs w:val="20"/>
              </w:rPr>
            </w:pPr>
            <w:r w:rsidRPr="006F2AA2">
              <w:rPr>
                <w:color w:val="000000" w:themeColor="text1"/>
                <w:sz w:val="20"/>
                <w:szCs w:val="20"/>
              </w:rPr>
              <w:t xml:space="preserve">Obtained confirmations from contract counterparties and reconciled to the Group’s information to verify </w:t>
            </w:r>
            <w:r w:rsidRPr="008B01E8">
              <w:rPr>
                <w:color w:val="000000" w:themeColor="text1"/>
                <w:spacing w:val="-6"/>
                <w:sz w:val="20"/>
                <w:szCs w:val="20"/>
              </w:rPr>
              <w:t>existence, completeness and accuracy of derivatives</w:t>
            </w:r>
            <w:r w:rsidRPr="006F2AA2">
              <w:rPr>
                <w:color w:val="000000" w:themeColor="text1"/>
                <w:sz w:val="20"/>
                <w:szCs w:val="20"/>
              </w:rPr>
              <w:t>.</w:t>
            </w:r>
          </w:p>
          <w:p w:rsidR="006F2AA2" w:rsidRPr="006F2AA2" w:rsidRDefault="006F2AA2" w:rsidP="008B01E8">
            <w:pPr>
              <w:pStyle w:val="Default"/>
              <w:ind w:right="-14"/>
              <w:jc w:val="thaiDistribute"/>
              <w:rPr>
                <w:color w:val="000000" w:themeColor="text1"/>
                <w:sz w:val="20"/>
                <w:szCs w:val="20"/>
              </w:rPr>
            </w:pPr>
          </w:p>
          <w:p w:rsidR="006F2AA2" w:rsidRPr="006F2AA2" w:rsidRDefault="006F2AA2" w:rsidP="008B01E8">
            <w:pPr>
              <w:pStyle w:val="Default"/>
              <w:ind w:right="-14"/>
              <w:jc w:val="thaiDistribute"/>
              <w:rPr>
                <w:color w:val="000000" w:themeColor="text1"/>
                <w:sz w:val="20"/>
                <w:szCs w:val="20"/>
              </w:rPr>
            </w:pPr>
            <w:r w:rsidRPr="008B01E8">
              <w:rPr>
                <w:color w:val="000000" w:themeColor="text1"/>
                <w:spacing w:val="-6"/>
                <w:sz w:val="20"/>
                <w:szCs w:val="20"/>
              </w:rPr>
              <w:t>Reperformed the fair value measurement of derivatives</w:t>
            </w:r>
            <w:r w:rsidRPr="006F2AA2">
              <w:rPr>
                <w:color w:val="000000" w:themeColor="text1"/>
                <w:sz w:val="20"/>
                <w:szCs w:val="20"/>
              </w:rPr>
              <w:t xml:space="preserve"> on a sample basis, using an alternative, independent valuation model.</w:t>
            </w:r>
          </w:p>
          <w:p w:rsidR="006F2AA2" w:rsidRPr="006F2AA2" w:rsidRDefault="006F2AA2" w:rsidP="008B01E8">
            <w:pPr>
              <w:pStyle w:val="Default"/>
              <w:ind w:right="-14"/>
              <w:jc w:val="thaiDistribute"/>
              <w:rPr>
                <w:color w:val="000000" w:themeColor="text1"/>
                <w:sz w:val="20"/>
                <w:szCs w:val="20"/>
              </w:rPr>
            </w:pPr>
          </w:p>
          <w:p w:rsidR="006F2AA2" w:rsidRPr="006F2AA2" w:rsidRDefault="006F2AA2" w:rsidP="008B01E8">
            <w:pPr>
              <w:pStyle w:val="Default"/>
              <w:ind w:right="-14"/>
              <w:jc w:val="thaiDistribute"/>
              <w:rPr>
                <w:color w:val="000000" w:themeColor="text1"/>
                <w:sz w:val="20"/>
                <w:szCs w:val="20"/>
              </w:rPr>
            </w:pPr>
            <w:r w:rsidRPr="006F2AA2">
              <w:rPr>
                <w:color w:val="000000" w:themeColor="text1"/>
                <w:sz w:val="20"/>
                <w:szCs w:val="20"/>
              </w:rPr>
              <w:t>On a sample basis, examined the appropriateness of the hedge documentations and evaluated the management’s assessment of hedge effectiveness.</w:t>
            </w:r>
            <w:r w:rsidR="005E43DB">
              <w:rPr>
                <w:color w:val="000000" w:themeColor="text1"/>
                <w:sz w:val="20"/>
                <w:szCs w:val="20"/>
              </w:rPr>
              <w:t xml:space="preserve"> These were to</w:t>
            </w:r>
            <w:r w:rsidRPr="006F2AA2">
              <w:rPr>
                <w:color w:val="000000" w:themeColor="text1"/>
                <w:sz w:val="20"/>
                <w:szCs w:val="20"/>
              </w:rPr>
              <w:t xml:space="preserve"> </w:t>
            </w:r>
            <w:r w:rsidR="005E43DB">
              <w:rPr>
                <w:color w:val="000000" w:themeColor="text1"/>
                <w:sz w:val="20"/>
                <w:szCs w:val="20"/>
              </w:rPr>
              <w:t>d</w:t>
            </w:r>
            <w:r w:rsidRPr="006F2AA2">
              <w:rPr>
                <w:color w:val="000000" w:themeColor="text1"/>
                <w:sz w:val="20"/>
                <w:szCs w:val="20"/>
              </w:rPr>
              <w:t>etermine</w:t>
            </w:r>
            <w:r w:rsidR="005E43DB">
              <w:rPr>
                <w:color w:val="000000" w:themeColor="text1"/>
                <w:sz w:val="20"/>
                <w:szCs w:val="20"/>
              </w:rPr>
              <w:t xml:space="preserve"> whether</w:t>
            </w:r>
            <w:r w:rsidRPr="006F2AA2">
              <w:rPr>
                <w:color w:val="000000" w:themeColor="text1"/>
                <w:sz w:val="20"/>
                <w:szCs w:val="20"/>
              </w:rPr>
              <w:t xml:space="preserve"> the accounting for derivatives following </w:t>
            </w:r>
            <w:r w:rsidRPr="008B01E8">
              <w:rPr>
                <w:color w:val="000000" w:themeColor="text1"/>
                <w:spacing w:val="-4"/>
                <w:sz w:val="20"/>
                <w:szCs w:val="20"/>
              </w:rPr>
              <w:t>the requirements of hedge accounting under TFRS 9.</w:t>
            </w:r>
          </w:p>
          <w:p w:rsidR="006F2AA2" w:rsidRPr="006F2AA2" w:rsidRDefault="006F2AA2" w:rsidP="008B01E8">
            <w:pPr>
              <w:pStyle w:val="Default"/>
              <w:ind w:right="-14"/>
              <w:jc w:val="thaiDistribute"/>
              <w:rPr>
                <w:color w:val="000000" w:themeColor="text1"/>
                <w:sz w:val="20"/>
                <w:szCs w:val="20"/>
              </w:rPr>
            </w:pPr>
          </w:p>
          <w:p w:rsidR="006F2AA2" w:rsidRPr="006F2AA2" w:rsidRDefault="006F2AA2" w:rsidP="008B01E8">
            <w:pPr>
              <w:pStyle w:val="Default"/>
              <w:ind w:right="-14"/>
              <w:jc w:val="thaiDistribute"/>
              <w:rPr>
                <w:color w:val="000000" w:themeColor="text1"/>
                <w:sz w:val="20"/>
                <w:szCs w:val="20"/>
              </w:rPr>
            </w:pPr>
            <w:r w:rsidRPr="006F2AA2">
              <w:rPr>
                <w:color w:val="000000" w:themeColor="text1"/>
                <w:sz w:val="20"/>
                <w:szCs w:val="20"/>
              </w:rPr>
              <w:t xml:space="preserve">Assessed the adequacy of the disclosures about derivatives and hedge accounting in accordance </w:t>
            </w:r>
            <w:r w:rsidRPr="008B01E8">
              <w:rPr>
                <w:color w:val="000000" w:themeColor="text1"/>
                <w:spacing w:val="-6"/>
                <w:sz w:val="20"/>
                <w:szCs w:val="20"/>
              </w:rPr>
              <w:t>with the requirements of TFRS 7 - Financial Instruments</w:t>
            </w:r>
            <w:r w:rsidRPr="006F2AA2">
              <w:rPr>
                <w:color w:val="000000" w:themeColor="text1"/>
                <w:sz w:val="20"/>
                <w:szCs w:val="20"/>
              </w:rPr>
              <w:t xml:space="preserve">: </w:t>
            </w:r>
            <w:r w:rsidRPr="008B01E8">
              <w:rPr>
                <w:color w:val="000000" w:themeColor="text1"/>
                <w:spacing w:val="-4"/>
                <w:sz w:val="20"/>
                <w:szCs w:val="20"/>
              </w:rPr>
              <w:t>Disclosures and TFRS 13 - Fair Value Measurement.</w:t>
            </w:r>
          </w:p>
          <w:p w:rsidR="006F2AA2" w:rsidRPr="006F2AA2" w:rsidRDefault="006F2AA2" w:rsidP="008B01E8">
            <w:pPr>
              <w:pStyle w:val="Default"/>
              <w:ind w:right="-14"/>
              <w:jc w:val="thaiDistribute"/>
              <w:rPr>
                <w:color w:val="000000" w:themeColor="text1"/>
                <w:sz w:val="20"/>
                <w:szCs w:val="20"/>
              </w:rPr>
            </w:pPr>
          </w:p>
          <w:p w:rsidR="006F2AA2" w:rsidRPr="002757B2" w:rsidRDefault="006F2AA2" w:rsidP="008B01E8">
            <w:pPr>
              <w:pStyle w:val="Default"/>
              <w:ind w:right="-14"/>
              <w:jc w:val="thaiDistribute"/>
              <w:rPr>
                <w:color w:val="000000" w:themeColor="text1"/>
                <w:sz w:val="20"/>
                <w:szCs w:val="20"/>
              </w:rPr>
            </w:pPr>
            <w:r w:rsidRPr="006F2AA2">
              <w:rPr>
                <w:color w:val="000000" w:themeColor="text1"/>
                <w:sz w:val="20"/>
                <w:szCs w:val="20"/>
              </w:rPr>
              <w:t>From the above procedures, I note</w:t>
            </w:r>
            <w:r w:rsidR="0055184E">
              <w:rPr>
                <w:color w:val="000000" w:themeColor="text1"/>
                <w:sz w:val="20"/>
                <w:szCs w:val="20"/>
              </w:rPr>
              <w:t>d</w:t>
            </w:r>
            <w:r w:rsidRPr="006F2AA2">
              <w:rPr>
                <w:color w:val="000000" w:themeColor="text1"/>
                <w:sz w:val="20"/>
                <w:szCs w:val="20"/>
              </w:rPr>
              <w:t xml:space="preserve"> </w:t>
            </w:r>
            <w:r w:rsidR="0094422F">
              <w:rPr>
                <w:color w:val="000000" w:themeColor="text1"/>
                <w:sz w:val="20"/>
                <w:szCs w:val="20"/>
              </w:rPr>
              <w:t xml:space="preserve">that </w:t>
            </w:r>
            <w:r w:rsidRPr="006F2AA2">
              <w:rPr>
                <w:color w:val="000000" w:themeColor="text1"/>
                <w:sz w:val="20"/>
                <w:szCs w:val="20"/>
              </w:rPr>
              <w:t>the accounting treatment</w:t>
            </w:r>
            <w:r w:rsidR="005E43DB">
              <w:rPr>
                <w:color w:val="000000" w:themeColor="text1"/>
                <w:sz w:val="20"/>
                <w:szCs w:val="20"/>
              </w:rPr>
              <w:t xml:space="preserve"> </w:t>
            </w:r>
            <w:r w:rsidR="0055184E">
              <w:rPr>
                <w:color w:val="000000" w:themeColor="text1"/>
                <w:sz w:val="20"/>
                <w:szCs w:val="20"/>
              </w:rPr>
              <w:t>wa</w:t>
            </w:r>
            <w:r w:rsidR="005E43DB">
              <w:rPr>
                <w:color w:val="000000" w:themeColor="text1"/>
                <w:sz w:val="20"/>
                <w:szCs w:val="20"/>
              </w:rPr>
              <w:t>s in accordance with the relevant financial reporting standards</w:t>
            </w:r>
            <w:r w:rsidRPr="006F2AA2">
              <w:rPr>
                <w:color w:val="000000" w:themeColor="text1"/>
                <w:sz w:val="20"/>
                <w:szCs w:val="20"/>
              </w:rPr>
              <w:t xml:space="preserve"> and the </w:t>
            </w:r>
            <w:r w:rsidR="005E43DB">
              <w:rPr>
                <w:color w:val="000000" w:themeColor="text1"/>
                <w:sz w:val="20"/>
                <w:szCs w:val="20"/>
              </w:rPr>
              <w:t>e</w:t>
            </w:r>
            <w:r w:rsidRPr="006F2AA2">
              <w:rPr>
                <w:color w:val="000000" w:themeColor="text1"/>
                <w:sz w:val="20"/>
                <w:szCs w:val="20"/>
              </w:rPr>
              <w:t>valuation of the derivatives in relation to hedge accounting for cross</w:t>
            </w:r>
            <w:r w:rsidR="005E43DB">
              <w:rPr>
                <w:color w:val="000000" w:themeColor="text1"/>
                <w:sz w:val="20"/>
                <w:szCs w:val="20"/>
              </w:rPr>
              <w:t xml:space="preserve"> </w:t>
            </w:r>
            <w:r w:rsidRPr="006F2AA2">
              <w:rPr>
                <w:color w:val="000000" w:themeColor="text1"/>
                <w:sz w:val="20"/>
                <w:szCs w:val="20"/>
              </w:rPr>
              <w:t>currency interest rate swap contracts</w:t>
            </w:r>
            <w:r w:rsidR="005E43DB">
              <w:rPr>
                <w:color w:val="000000" w:themeColor="text1"/>
                <w:sz w:val="20"/>
                <w:szCs w:val="20"/>
              </w:rPr>
              <w:t xml:space="preserve"> were reasonable based on the available evidence</w:t>
            </w:r>
            <w:r w:rsidR="00931A60">
              <w:rPr>
                <w:color w:val="000000" w:themeColor="text1"/>
                <w:sz w:val="20"/>
                <w:szCs w:val="20"/>
              </w:rPr>
              <w:t>s</w:t>
            </w:r>
            <w:bookmarkStart w:id="0" w:name="_GoBack"/>
            <w:bookmarkEnd w:id="0"/>
            <w:r w:rsidRPr="006F2AA2">
              <w:rPr>
                <w:color w:val="000000" w:themeColor="text1"/>
                <w:sz w:val="20"/>
                <w:szCs w:val="20"/>
              </w:rPr>
              <w:t>.</w:t>
            </w:r>
          </w:p>
        </w:tc>
      </w:tr>
      <w:tr w:rsidR="006F2AA2" w:rsidRPr="008B01E8" w:rsidTr="008B01E8">
        <w:tc>
          <w:tcPr>
            <w:tcW w:w="4419" w:type="dxa"/>
            <w:tcBorders>
              <w:bottom w:val="single" w:sz="4" w:space="0" w:color="ED8731"/>
            </w:tcBorders>
            <w:shd w:val="clear" w:color="auto" w:fill="auto"/>
          </w:tcPr>
          <w:p w:rsidR="006F2AA2" w:rsidRPr="008B01E8" w:rsidRDefault="006F2AA2" w:rsidP="00AE632A">
            <w:pPr>
              <w:pStyle w:val="Default"/>
              <w:ind w:right="244"/>
              <w:jc w:val="thaiDistribute"/>
              <w:rPr>
                <w:color w:val="000000" w:themeColor="text1"/>
                <w:sz w:val="12"/>
                <w:szCs w:val="12"/>
              </w:rPr>
            </w:pPr>
          </w:p>
        </w:tc>
        <w:tc>
          <w:tcPr>
            <w:tcW w:w="4788" w:type="dxa"/>
            <w:tcBorders>
              <w:bottom w:val="single" w:sz="4" w:space="0" w:color="ED8731"/>
            </w:tcBorders>
            <w:shd w:val="clear" w:color="auto" w:fill="FAFAFA"/>
          </w:tcPr>
          <w:p w:rsidR="006F2AA2" w:rsidRPr="008B01E8" w:rsidRDefault="006F2AA2" w:rsidP="00AE632A">
            <w:pPr>
              <w:pStyle w:val="Default"/>
              <w:jc w:val="thaiDistribute"/>
              <w:rPr>
                <w:color w:val="000000" w:themeColor="text1"/>
                <w:sz w:val="12"/>
                <w:szCs w:val="12"/>
              </w:rPr>
            </w:pPr>
          </w:p>
        </w:tc>
      </w:tr>
    </w:tbl>
    <w:p w:rsidR="006F2AA2" w:rsidRDefault="006F2AA2" w:rsidP="00240078">
      <w:pPr>
        <w:pStyle w:val="Header"/>
        <w:jc w:val="both"/>
        <w:rPr>
          <w:rFonts w:ascii="Arial" w:hAnsi="Arial" w:cs="Arial"/>
          <w:b/>
          <w:bCs/>
          <w:color w:val="000000" w:themeColor="text1"/>
          <w:sz w:val="20"/>
          <w:szCs w:val="20"/>
        </w:rPr>
      </w:pPr>
    </w:p>
    <w:p w:rsidR="00666C28" w:rsidRDefault="00666C28">
      <w:pPr>
        <w:rPr>
          <w:rFonts w:ascii="Arial" w:eastAsia="Calibri" w:hAnsi="Arial" w:cs="Arial"/>
          <w:spacing w:val="-2"/>
          <w:sz w:val="20"/>
          <w:szCs w:val="20"/>
        </w:rPr>
      </w:pPr>
      <w:r>
        <w:rPr>
          <w:rFonts w:eastAsia="Calibri"/>
          <w:spacing w:val="-2"/>
          <w:sz w:val="20"/>
          <w:szCs w:val="20"/>
        </w:rPr>
        <w:br w:type="page"/>
      </w:r>
    </w:p>
    <w:p w:rsidR="00E3702E" w:rsidRDefault="00E07F94" w:rsidP="00F67AF3">
      <w:pPr>
        <w:pStyle w:val="Default"/>
        <w:jc w:val="thaiDistribute"/>
        <w:rPr>
          <w:rFonts w:eastAsia="Calibri"/>
          <w:b/>
          <w:bCs/>
          <w:color w:val="CF4A02"/>
          <w:sz w:val="20"/>
          <w:szCs w:val="20"/>
          <w:vertAlign w:val="superscript"/>
        </w:rPr>
      </w:pPr>
      <w:r w:rsidRPr="002757B2">
        <w:rPr>
          <w:rFonts w:eastAsia="Calibri"/>
          <w:b/>
          <w:bCs/>
          <w:color w:val="CF4A02"/>
          <w:sz w:val="20"/>
          <w:szCs w:val="20"/>
        </w:rPr>
        <w:lastRenderedPageBreak/>
        <w:t>Other i</w:t>
      </w:r>
      <w:r w:rsidR="00790517" w:rsidRPr="002757B2">
        <w:rPr>
          <w:rFonts w:eastAsia="Calibri"/>
          <w:b/>
          <w:bCs/>
          <w:color w:val="CF4A02"/>
          <w:sz w:val="20"/>
          <w:szCs w:val="20"/>
        </w:rPr>
        <w:t xml:space="preserve">nformation </w:t>
      </w:r>
    </w:p>
    <w:p w:rsidR="006F2AA2" w:rsidRPr="002757B2" w:rsidRDefault="006F2AA2" w:rsidP="00F67AF3">
      <w:pPr>
        <w:pStyle w:val="Default"/>
        <w:jc w:val="thaiDistribute"/>
        <w:rPr>
          <w:rFonts w:eastAsia="Calibri"/>
          <w:b/>
          <w:bCs/>
          <w:color w:val="000000" w:themeColor="text1"/>
          <w:sz w:val="20"/>
          <w:szCs w:val="20"/>
        </w:rPr>
      </w:pPr>
    </w:p>
    <w:p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responsible for the other information. The other information comprises the information included in the annual report,</w:t>
      </w:r>
      <w:r w:rsidR="00AA3D7F" w:rsidRPr="002757B2">
        <w:rPr>
          <w:color w:val="000000" w:themeColor="text1"/>
          <w:sz w:val="20"/>
          <w:szCs w:val="20"/>
        </w:rPr>
        <w:t xml:space="preserve"> </w:t>
      </w:r>
      <w:r w:rsidR="00747C86" w:rsidRPr="002757B2">
        <w:rPr>
          <w:color w:val="000000" w:themeColor="text1"/>
          <w:sz w:val="20"/>
          <w:szCs w:val="20"/>
        </w:rPr>
        <w:t xml:space="preserve">but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rsidR="00B91979" w:rsidRPr="002757B2" w:rsidRDefault="00B91979" w:rsidP="00F67AF3">
      <w:pPr>
        <w:pStyle w:val="Default"/>
        <w:jc w:val="thaiDistribute"/>
        <w:rPr>
          <w:color w:val="000000" w:themeColor="text1"/>
          <w:sz w:val="20"/>
          <w:szCs w:val="20"/>
        </w:rPr>
      </w:pPr>
    </w:p>
    <w:p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rsidR="005237A1" w:rsidRPr="002757B2" w:rsidRDefault="005237A1" w:rsidP="00F67AF3">
      <w:pPr>
        <w:pStyle w:val="Default"/>
        <w:jc w:val="thaiDistribute"/>
        <w:rPr>
          <w:color w:val="000000" w:themeColor="text1"/>
          <w:sz w:val="20"/>
          <w:szCs w:val="20"/>
        </w:rPr>
      </w:pPr>
    </w:p>
    <w:p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rsidR="00BD5FF4" w:rsidRPr="002757B2" w:rsidRDefault="00BD5FF4" w:rsidP="00F67AF3">
      <w:pPr>
        <w:pStyle w:val="Default"/>
        <w:jc w:val="thaiDistribute"/>
        <w:rPr>
          <w:color w:val="000000" w:themeColor="text1"/>
          <w:sz w:val="20"/>
          <w:szCs w:val="20"/>
        </w:rPr>
      </w:pPr>
    </w:p>
    <w:p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6F2AA2">
        <w:rPr>
          <w:i/>
          <w:iCs/>
          <w:color w:val="000000" w:themeColor="text1"/>
          <w:sz w:val="20"/>
          <w:szCs w:val="20"/>
        </w:rPr>
        <w:t>.</w:t>
      </w:r>
    </w:p>
    <w:p w:rsidR="00A80C46" w:rsidRDefault="00A80C46">
      <w:pPr>
        <w:rPr>
          <w:rFonts w:ascii="Arial Bold" w:eastAsia="Calibri" w:hAnsi="Arial Bold" w:cs="Arial"/>
          <w:b/>
          <w:bCs/>
          <w:color w:val="CF4A02"/>
          <w:spacing w:val="-7"/>
          <w:sz w:val="20"/>
          <w:szCs w:val="20"/>
        </w:rPr>
      </w:pPr>
    </w:p>
    <w:p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rsidR="00E3702E" w:rsidRPr="002757B2" w:rsidRDefault="00E3702E" w:rsidP="00F67AF3">
      <w:pPr>
        <w:pStyle w:val="Default"/>
        <w:jc w:val="thaiDistribute"/>
        <w:rPr>
          <w:rFonts w:eastAsia="Calibri"/>
          <w:b/>
          <w:bCs/>
          <w:color w:val="000000" w:themeColor="text1"/>
          <w:sz w:val="20"/>
          <w:szCs w:val="20"/>
        </w:rPr>
      </w:pPr>
    </w:p>
    <w:p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rsidR="00B91979" w:rsidRPr="002757B2" w:rsidRDefault="00B91979" w:rsidP="00F67AF3">
      <w:pPr>
        <w:spacing w:after="0" w:line="240" w:lineRule="auto"/>
        <w:jc w:val="thaiDistribute"/>
        <w:rPr>
          <w:rFonts w:ascii="Arial" w:hAnsi="Arial" w:cs="Arial"/>
          <w:color w:val="000000" w:themeColor="text1"/>
          <w:sz w:val="20"/>
          <w:szCs w:val="20"/>
        </w:rPr>
      </w:pPr>
    </w:p>
    <w:p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w:t>
      </w:r>
      <w:r w:rsidRPr="002757B2">
        <w:rPr>
          <w:rFonts w:ascii="Arial" w:hAnsi="Arial" w:cs="Arial"/>
          <w:color w:val="000000" w:themeColor="text1"/>
          <w:sz w:val="20"/>
          <w:szCs w:val="20"/>
        </w:rPr>
        <w:t xml:space="preserve">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Pr="00A92691">
        <w:rPr>
          <w:rFonts w:ascii="Arial" w:hAnsi="Arial" w:cs="Arial"/>
          <w:color w:val="000000" w:themeColor="text1"/>
          <w:spacing w:val="-4"/>
          <w:sz w:val="20"/>
          <w:szCs w:val="20"/>
        </w:rPr>
        <w:t>or to cease operations, or has no realistic alternative but to do so.</w:t>
      </w:r>
    </w:p>
    <w:p w:rsidR="00B91979" w:rsidRPr="002757B2" w:rsidRDefault="00B91979" w:rsidP="00F67AF3">
      <w:pPr>
        <w:spacing w:after="0" w:line="240" w:lineRule="auto"/>
        <w:jc w:val="thaiDistribute"/>
        <w:rPr>
          <w:rFonts w:ascii="Arial" w:hAnsi="Arial" w:cs="Arial"/>
          <w:color w:val="000000" w:themeColor="text1"/>
          <w:sz w:val="20"/>
          <w:szCs w:val="20"/>
        </w:rPr>
      </w:pPr>
    </w:p>
    <w:p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C347B4">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financial reporting process. </w:t>
      </w:r>
    </w:p>
    <w:p w:rsidR="00620568" w:rsidRPr="002757B2" w:rsidRDefault="00620568" w:rsidP="00F67AF3">
      <w:pPr>
        <w:pStyle w:val="Default"/>
        <w:jc w:val="thaiDistribute"/>
        <w:rPr>
          <w:b/>
          <w:bCs/>
          <w:color w:val="000000" w:themeColor="text1"/>
          <w:sz w:val="20"/>
          <w:szCs w:val="20"/>
        </w:rPr>
      </w:pPr>
    </w:p>
    <w:p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rsidR="003D3D27" w:rsidRPr="002757B2" w:rsidRDefault="003D3D27" w:rsidP="00F67AF3">
      <w:pPr>
        <w:pStyle w:val="Default"/>
        <w:jc w:val="thaiDistribute"/>
        <w:rPr>
          <w:rFonts w:eastAsia="Calibri"/>
          <w:b/>
          <w:bCs/>
          <w:color w:val="000000" w:themeColor="text1"/>
          <w:sz w:val="20"/>
          <w:szCs w:val="20"/>
        </w:rPr>
      </w:pPr>
    </w:p>
    <w:p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as a whole are free from material misstatement, whether due to fraud or error, and to issue </w:t>
      </w:r>
      <w:r w:rsidRPr="00A92691">
        <w:rPr>
          <w:color w:val="000000" w:themeColor="text1"/>
          <w:spacing w:val="-4"/>
          <w:sz w:val="20"/>
          <w:szCs w:val="20"/>
        </w:rPr>
        <w:t>an auditor’s report that includes my opinion. Reasonable assurance is a high level of assurance, but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rsidR="00666C28" w:rsidRDefault="00666C28" w:rsidP="00F67AF3">
      <w:pPr>
        <w:pStyle w:val="Default"/>
        <w:jc w:val="thaiDistribute"/>
        <w:rPr>
          <w:color w:val="000000" w:themeColor="text1"/>
          <w:sz w:val="20"/>
          <w:szCs w:val="20"/>
        </w:rPr>
      </w:pPr>
    </w:p>
    <w:p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rsidR="000D55B0" w:rsidRPr="002757B2" w:rsidRDefault="000D55B0" w:rsidP="00F67AF3">
      <w:pPr>
        <w:pStyle w:val="Default"/>
        <w:jc w:val="thaiDistribute"/>
        <w:rPr>
          <w:color w:val="000000" w:themeColor="text1"/>
          <w:sz w:val="20"/>
          <w:szCs w:val="20"/>
        </w:rPr>
      </w:pPr>
    </w:p>
    <w:p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66C28" w:rsidRDefault="00666C28">
      <w:pPr>
        <w:rPr>
          <w:rFonts w:ascii="Arial" w:hAnsi="Arial" w:cs="Arial"/>
          <w:color w:val="000000" w:themeColor="text1"/>
          <w:sz w:val="12"/>
          <w:szCs w:val="12"/>
        </w:rPr>
      </w:pPr>
      <w:r>
        <w:rPr>
          <w:color w:val="000000" w:themeColor="text1"/>
          <w:sz w:val="12"/>
          <w:szCs w:val="12"/>
        </w:rPr>
        <w:br w:type="page"/>
      </w:r>
    </w:p>
    <w:p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rsidR="00240078" w:rsidRPr="002757B2" w:rsidRDefault="00240078" w:rsidP="00F67AF3">
      <w:pPr>
        <w:pStyle w:val="Default"/>
        <w:ind w:left="540"/>
        <w:jc w:val="thaiDistribute"/>
        <w:rPr>
          <w:color w:val="000000" w:themeColor="text1"/>
          <w:sz w:val="12"/>
          <w:szCs w:val="12"/>
        </w:rPr>
      </w:pPr>
    </w:p>
    <w:p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rsidR="002757B2" w:rsidRPr="002757B2" w:rsidRDefault="002757B2" w:rsidP="002757B2">
      <w:pPr>
        <w:pStyle w:val="Default"/>
        <w:ind w:left="540"/>
        <w:jc w:val="thaiDistribute"/>
        <w:rPr>
          <w:color w:val="000000" w:themeColor="text1"/>
          <w:sz w:val="12"/>
          <w:szCs w:val="12"/>
        </w:rPr>
      </w:pPr>
    </w:p>
    <w:p w:rsidR="00A80C46" w:rsidRDefault="00FE6CF3" w:rsidP="00A966DA">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w:t>
      </w:r>
      <w:r w:rsidRPr="002757B2">
        <w:rPr>
          <w:color w:val="000000" w:themeColor="text1"/>
          <w:sz w:val="20"/>
          <w:szCs w:val="20"/>
        </w:rPr>
        <w:t xml:space="preserve">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w:t>
      </w:r>
      <w:r w:rsidRPr="002757B2">
        <w:rPr>
          <w:color w:val="000000" w:themeColor="text1"/>
          <w:sz w:val="20"/>
          <w:szCs w:val="20"/>
        </w:rPr>
        <w:t xml:space="preserve">to cease to continue as a going concern. </w:t>
      </w:r>
    </w:p>
    <w:p w:rsidR="00A966DA" w:rsidRPr="00A966DA" w:rsidRDefault="00A966DA" w:rsidP="00A966DA">
      <w:pPr>
        <w:pStyle w:val="Default"/>
        <w:jc w:val="thaiDistribute"/>
        <w:rPr>
          <w:color w:val="000000" w:themeColor="text1"/>
          <w:sz w:val="20"/>
          <w:szCs w:val="20"/>
        </w:rPr>
      </w:pPr>
    </w:p>
    <w:p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structure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rsidR="00240078" w:rsidRPr="002757B2" w:rsidRDefault="00240078" w:rsidP="00F67AF3">
      <w:pPr>
        <w:pStyle w:val="Default"/>
        <w:ind w:left="540"/>
        <w:jc w:val="thaiDistribute"/>
        <w:rPr>
          <w:color w:val="000000" w:themeColor="text1"/>
          <w:sz w:val="12"/>
          <w:szCs w:val="12"/>
        </w:rPr>
      </w:pPr>
    </w:p>
    <w:p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2757B2" w:rsidRDefault="00B91979" w:rsidP="008B018B">
      <w:pPr>
        <w:pStyle w:val="Default"/>
        <w:jc w:val="thaiDistribute"/>
        <w:rPr>
          <w:color w:val="000000" w:themeColor="text1"/>
          <w:sz w:val="20"/>
          <w:szCs w:val="20"/>
        </w:rPr>
      </w:pPr>
    </w:p>
    <w:p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rsidR="00B91979" w:rsidRPr="002757B2" w:rsidRDefault="00B91979" w:rsidP="00F67AF3">
      <w:pPr>
        <w:pStyle w:val="Default"/>
        <w:jc w:val="thaiDistribute"/>
        <w:rPr>
          <w:color w:val="000000" w:themeColor="text1"/>
          <w:sz w:val="20"/>
          <w:szCs w:val="20"/>
        </w:rPr>
      </w:pPr>
    </w:p>
    <w:p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2757B2" w:rsidRDefault="00B91979" w:rsidP="00F67AF3">
      <w:pPr>
        <w:pStyle w:val="Default"/>
        <w:jc w:val="thaiDistribute"/>
        <w:rPr>
          <w:color w:val="000000" w:themeColor="text1"/>
          <w:sz w:val="20"/>
          <w:szCs w:val="20"/>
        </w:rPr>
      </w:pPr>
    </w:p>
    <w:p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2757B2" w:rsidRDefault="008D64B8">
      <w:pPr>
        <w:pStyle w:val="Default"/>
        <w:rPr>
          <w:color w:val="000000" w:themeColor="text1"/>
          <w:sz w:val="20"/>
          <w:szCs w:val="20"/>
        </w:rPr>
      </w:pPr>
    </w:p>
    <w:p w:rsidR="00D0685C" w:rsidRPr="002757B2" w:rsidRDefault="00D0685C">
      <w:pPr>
        <w:suppressAutoHyphens/>
        <w:spacing w:after="0" w:line="240" w:lineRule="auto"/>
        <w:rPr>
          <w:rFonts w:ascii="Arial" w:hAnsi="Arial" w:cs="Arial"/>
          <w:color w:val="000000" w:themeColor="text1"/>
          <w:sz w:val="20"/>
          <w:szCs w:val="20"/>
          <w:lang w:val="en-US"/>
        </w:rPr>
      </w:pPr>
    </w:p>
    <w:p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rsidR="008D64B8" w:rsidRPr="002757B2" w:rsidRDefault="008D64B8">
      <w:pPr>
        <w:pStyle w:val="Default"/>
        <w:rPr>
          <w:color w:val="000000" w:themeColor="text1"/>
          <w:sz w:val="20"/>
          <w:szCs w:val="20"/>
        </w:rPr>
      </w:pPr>
    </w:p>
    <w:p w:rsidR="000D55B0" w:rsidRPr="002757B2" w:rsidRDefault="000D55B0">
      <w:pPr>
        <w:suppressAutoHyphens/>
        <w:spacing w:after="0" w:line="240" w:lineRule="auto"/>
        <w:rPr>
          <w:rFonts w:ascii="Arial" w:hAnsi="Arial" w:cs="Arial"/>
          <w:color w:val="000000" w:themeColor="text1"/>
          <w:sz w:val="20"/>
          <w:szCs w:val="20"/>
        </w:rPr>
      </w:pPr>
    </w:p>
    <w:p w:rsidR="003D3D27" w:rsidRPr="002757B2" w:rsidRDefault="003D3D27">
      <w:pPr>
        <w:suppressAutoHyphens/>
        <w:spacing w:after="0" w:line="240" w:lineRule="auto"/>
        <w:rPr>
          <w:rFonts w:ascii="Arial" w:hAnsi="Arial" w:cs="Arial"/>
          <w:color w:val="000000" w:themeColor="text1"/>
          <w:sz w:val="20"/>
          <w:szCs w:val="20"/>
        </w:rPr>
      </w:pPr>
    </w:p>
    <w:p w:rsidR="003D3D27" w:rsidRPr="002757B2" w:rsidRDefault="003D3D27">
      <w:pPr>
        <w:suppressAutoHyphens/>
        <w:spacing w:after="0" w:line="240" w:lineRule="auto"/>
        <w:rPr>
          <w:rFonts w:ascii="Arial" w:hAnsi="Arial" w:cs="Arial"/>
          <w:color w:val="000000" w:themeColor="text1"/>
          <w:sz w:val="20"/>
          <w:szCs w:val="20"/>
        </w:rPr>
      </w:pPr>
    </w:p>
    <w:p w:rsidR="003D3D27" w:rsidRPr="002757B2" w:rsidRDefault="003D3D27">
      <w:pPr>
        <w:suppressAutoHyphens/>
        <w:spacing w:after="0" w:line="240" w:lineRule="auto"/>
        <w:rPr>
          <w:rFonts w:ascii="Arial" w:hAnsi="Arial" w:cs="Arial"/>
          <w:color w:val="000000" w:themeColor="text1"/>
          <w:sz w:val="20"/>
          <w:szCs w:val="20"/>
        </w:rPr>
      </w:pPr>
    </w:p>
    <w:p w:rsidR="003D3D27" w:rsidRPr="002757B2" w:rsidRDefault="003D3D27">
      <w:pPr>
        <w:suppressAutoHyphens/>
        <w:spacing w:after="0" w:line="240" w:lineRule="auto"/>
        <w:rPr>
          <w:rFonts w:ascii="Arial" w:hAnsi="Arial" w:cs="Arial"/>
          <w:color w:val="000000" w:themeColor="text1"/>
          <w:sz w:val="20"/>
          <w:szCs w:val="20"/>
        </w:rPr>
      </w:pPr>
    </w:p>
    <w:p w:rsidR="003D3D27" w:rsidRPr="002757B2" w:rsidRDefault="003D3D27">
      <w:pPr>
        <w:suppressAutoHyphens/>
        <w:spacing w:after="0" w:line="240" w:lineRule="auto"/>
        <w:rPr>
          <w:rFonts w:ascii="Arial" w:hAnsi="Arial" w:cs="Arial"/>
          <w:color w:val="000000" w:themeColor="text1"/>
          <w:sz w:val="20"/>
          <w:szCs w:val="20"/>
        </w:rPr>
      </w:pPr>
    </w:p>
    <w:p w:rsidR="00A966DA" w:rsidRDefault="00A966DA">
      <w:pPr>
        <w:suppressAutoHyphens/>
        <w:spacing w:after="0" w:line="240" w:lineRule="auto"/>
        <w:rPr>
          <w:rFonts w:ascii="Arial" w:hAnsi="Arial" w:cs="Arial"/>
          <w:b/>
          <w:bCs/>
          <w:color w:val="000000" w:themeColor="text1"/>
          <w:sz w:val="20"/>
          <w:szCs w:val="20"/>
          <w:lang w:val="en-US"/>
        </w:rPr>
      </w:pPr>
      <w:r w:rsidRPr="00A966DA">
        <w:rPr>
          <w:rFonts w:ascii="Arial" w:hAnsi="Arial" w:cs="Arial"/>
          <w:b/>
          <w:bCs/>
          <w:color w:val="000000" w:themeColor="text1"/>
          <w:sz w:val="20"/>
          <w:szCs w:val="20"/>
          <w:lang w:val="en-US"/>
        </w:rPr>
        <w:t>Kajornkiet Aroonpirodkul</w:t>
      </w:r>
    </w:p>
    <w:p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A966DA">
        <w:rPr>
          <w:rFonts w:ascii="Arial" w:hAnsi="Arial" w:cs="Arial"/>
          <w:color w:val="000000" w:themeColor="text1"/>
          <w:sz w:val="20"/>
          <w:szCs w:val="20"/>
          <w:lang w:val="en-US"/>
        </w:rPr>
        <w:t>3445</w:t>
      </w:r>
    </w:p>
    <w:p w:rsidR="005B1E87" w:rsidRPr="00A966DA" w:rsidRDefault="005B1E87">
      <w:pPr>
        <w:suppressAutoHyphens/>
        <w:spacing w:after="0" w:line="240" w:lineRule="auto"/>
        <w:rPr>
          <w:rFonts w:ascii="Arial" w:hAnsi="Arial" w:cs="Arial"/>
          <w:color w:val="000000" w:themeColor="text1"/>
          <w:sz w:val="20"/>
          <w:szCs w:val="20"/>
          <w:lang w:val="en-US"/>
        </w:rPr>
      </w:pPr>
      <w:r w:rsidRPr="00A966DA">
        <w:rPr>
          <w:rFonts w:ascii="Arial" w:hAnsi="Arial" w:cs="Arial"/>
          <w:color w:val="000000" w:themeColor="text1"/>
          <w:sz w:val="20"/>
          <w:szCs w:val="20"/>
          <w:lang w:val="en-US"/>
        </w:rPr>
        <w:t>Bangkok</w:t>
      </w:r>
    </w:p>
    <w:p w:rsidR="003D3D27" w:rsidRPr="00A966DA" w:rsidRDefault="00A966DA">
      <w:pPr>
        <w:suppressAutoHyphens/>
        <w:spacing w:after="0" w:line="240" w:lineRule="auto"/>
        <w:rPr>
          <w:rFonts w:ascii="Arial" w:hAnsi="Arial" w:cs="Arial"/>
          <w:color w:val="000000" w:themeColor="text1"/>
          <w:sz w:val="20"/>
          <w:szCs w:val="20"/>
        </w:rPr>
      </w:pPr>
      <w:r w:rsidRPr="00A966DA">
        <w:rPr>
          <w:rFonts w:ascii="Arial" w:hAnsi="Arial" w:cs="Arial"/>
          <w:color w:val="000000" w:themeColor="text1"/>
          <w:sz w:val="20"/>
          <w:szCs w:val="20"/>
        </w:rPr>
        <w:t>25 February 2021</w:t>
      </w:r>
    </w:p>
    <w:p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8B01E8">
          <w:headerReference w:type="default" r:id="rId9"/>
          <w:pgSz w:w="11909" w:h="16834" w:code="9"/>
          <w:pgMar w:top="2880" w:right="720" w:bottom="720" w:left="1987" w:header="706" w:footer="706" w:gutter="0"/>
          <w:cols w:space="708"/>
          <w:docGrid w:linePitch="360"/>
        </w:sectPr>
      </w:pPr>
    </w:p>
    <w:p w:rsidR="009164FB" w:rsidRPr="002D2FF7" w:rsidRDefault="00A966DA" w:rsidP="009164FB">
      <w:pPr>
        <w:pStyle w:val="Caption"/>
        <w:spacing w:line="240" w:lineRule="auto"/>
        <w:ind w:left="720"/>
        <w:rPr>
          <w:rFonts w:ascii="Arial" w:hAnsi="Arial" w:cs="Arial"/>
          <w:color w:val="000000" w:themeColor="text1"/>
          <w:sz w:val="22"/>
          <w:szCs w:val="22"/>
          <w:lang w:val="en-GB"/>
        </w:rPr>
      </w:pPr>
      <w:r>
        <w:rPr>
          <w:rFonts w:ascii="Arial" w:hAnsi="Arial" w:cs="Arial"/>
          <w:color w:val="000000" w:themeColor="text1"/>
          <w:sz w:val="22"/>
          <w:szCs w:val="22"/>
          <w:lang w:val="en-GB"/>
        </w:rPr>
        <w:lastRenderedPageBreak/>
        <w:t>B.GRIMM POWER</w:t>
      </w:r>
      <w:r w:rsidR="009164FB" w:rsidRPr="002D2FF7">
        <w:rPr>
          <w:rFonts w:ascii="Arial" w:hAnsi="Arial" w:cs="Arial"/>
          <w:color w:val="000000" w:themeColor="text1"/>
          <w:sz w:val="22"/>
          <w:szCs w:val="22"/>
          <w:lang w:val="en-GB"/>
        </w:rPr>
        <w:t xml:space="preserve"> PUBLIC COMPANY LIMITED </w:t>
      </w:r>
    </w:p>
    <w:p w:rsidR="009164FB" w:rsidRPr="002D2FF7" w:rsidRDefault="009164FB" w:rsidP="009164FB">
      <w:pPr>
        <w:suppressAutoHyphens/>
        <w:spacing w:after="0" w:line="240" w:lineRule="auto"/>
        <w:ind w:left="720"/>
        <w:rPr>
          <w:rFonts w:ascii="Arial" w:hAnsi="Arial" w:cs="Arial"/>
          <w:b/>
          <w:bCs/>
          <w:color w:val="000000" w:themeColor="text1"/>
          <w:szCs w:val="22"/>
        </w:rPr>
      </w:pPr>
    </w:p>
    <w:p w:rsidR="009164FB" w:rsidRPr="002D2FF7" w:rsidRDefault="009164FB" w:rsidP="009164FB">
      <w:pPr>
        <w:suppressAutoHyphens/>
        <w:spacing w:after="0" w:line="240" w:lineRule="auto"/>
        <w:ind w:left="720"/>
        <w:rPr>
          <w:rFonts w:ascii="Arial" w:hAnsi="Arial" w:cs="Arial"/>
          <w:b/>
          <w:bCs/>
          <w:color w:val="000000" w:themeColor="text1"/>
          <w:szCs w:val="22"/>
        </w:rPr>
      </w:pPr>
    </w:p>
    <w:p w:rsidR="009164FB" w:rsidRPr="002D2FF7" w:rsidRDefault="009164FB" w:rsidP="009164FB">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rsidR="009164FB" w:rsidRPr="002D2FF7" w:rsidRDefault="009164FB" w:rsidP="009164FB">
      <w:pPr>
        <w:suppressAutoHyphens/>
        <w:spacing w:after="0" w:line="240" w:lineRule="auto"/>
        <w:ind w:left="720"/>
        <w:rPr>
          <w:rFonts w:ascii="Arial" w:hAnsi="Arial" w:cs="Arial"/>
          <w:b/>
          <w:bCs/>
          <w:color w:val="000000" w:themeColor="text1"/>
          <w:szCs w:val="22"/>
        </w:rPr>
      </w:pPr>
    </w:p>
    <w:p w:rsidR="009164FB" w:rsidRPr="002D2FF7" w:rsidRDefault="00A966DA" w:rsidP="009164FB">
      <w:pPr>
        <w:suppressAutoHyphens/>
        <w:spacing w:after="0" w:line="240" w:lineRule="auto"/>
        <w:ind w:left="720"/>
        <w:rPr>
          <w:rFonts w:ascii="Arial" w:hAnsi="Arial" w:cs="Arial"/>
          <w:b/>
          <w:bCs/>
          <w:color w:val="000000" w:themeColor="text1"/>
          <w:szCs w:val="22"/>
        </w:rPr>
      </w:pPr>
      <w:r>
        <w:rPr>
          <w:rFonts w:ascii="Arial" w:hAnsi="Arial" w:cs="Arial"/>
          <w:b/>
          <w:bCs/>
          <w:color w:val="000000" w:themeColor="text1"/>
          <w:szCs w:val="22"/>
        </w:rPr>
        <w:t>31 DECEMBER 2020</w:t>
      </w:r>
    </w:p>
    <w:p w:rsidR="009164FB" w:rsidRPr="002757B2" w:rsidRDefault="009164FB">
      <w:pPr>
        <w:pStyle w:val="Default"/>
        <w:rPr>
          <w:rFonts w:cs="Angsana New"/>
          <w:b/>
          <w:bCs/>
          <w:color w:val="C00000"/>
          <w:sz w:val="20"/>
          <w:szCs w:val="20"/>
          <w:cs/>
        </w:rPr>
        <w:sectPr w:rsidR="009164FB" w:rsidRPr="002757B2" w:rsidSect="008B01E8">
          <w:pgSz w:w="11909" w:h="16834" w:code="9"/>
          <w:pgMar w:top="4176" w:right="2880" w:bottom="10080" w:left="1800" w:header="706" w:footer="706" w:gutter="0"/>
          <w:cols w:space="708"/>
          <w:docGrid w:linePitch="360"/>
        </w:sectPr>
      </w:pPr>
    </w:p>
    <w:p w:rsidR="00C46DA4" w:rsidRPr="002757B2" w:rsidRDefault="00C46DA4" w:rsidP="00F67AF3">
      <w:pPr>
        <w:pStyle w:val="Default"/>
        <w:jc w:val="thaiDistribute"/>
        <w:rPr>
          <w:color w:val="000000" w:themeColor="text1"/>
          <w:sz w:val="20"/>
          <w:szCs w:val="20"/>
        </w:rPr>
      </w:pPr>
    </w:p>
    <w:sectPr w:rsidR="00C46DA4" w:rsidRPr="002757B2" w:rsidSect="008877E2">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7D7" w:rsidRDefault="00A177D7" w:rsidP="001D338E">
      <w:pPr>
        <w:spacing w:after="0" w:line="240" w:lineRule="auto"/>
      </w:pPr>
      <w:r>
        <w:separator/>
      </w:r>
    </w:p>
  </w:endnote>
  <w:endnote w:type="continuationSeparator" w:id="0">
    <w:p w:rsidR="00A177D7" w:rsidRDefault="00A177D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7D7" w:rsidRDefault="00A177D7" w:rsidP="001D338E">
      <w:pPr>
        <w:spacing w:after="0" w:line="240" w:lineRule="auto"/>
      </w:pPr>
      <w:r>
        <w:separator/>
      </w:r>
    </w:p>
  </w:footnote>
  <w:footnote w:type="continuationSeparator" w:id="0">
    <w:p w:rsidR="00A177D7" w:rsidRDefault="00A177D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533B57C0"/>
    <w:multiLevelType w:val="hybridMultilevel"/>
    <w:tmpl w:val="49F2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7A203D3"/>
    <w:multiLevelType w:val="hybridMultilevel"/>
    <w:tmpl w:val="4E5A38C8"/>
    <w:lvl w:ilvl="0" w:tplc="F52428E4">
      <w:start w:val="1"/>
      <w:numFmt w:val="bullet"/>
      <w:lvlText w:val="-"/>
      <w:lvlJc w:val="left"/>
      <w:pPr>
        <w:ind w:left="720" w:hanging="360"/>
      </w:pPr>
      <w:rPr>
        <w:rFonts w:ascii="Angsana New" w:eastAsia="MS Mincho" w:hAnsi="Angsana New" w:cs="Angsana New" w:hint="cs"/>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D3728"/>
    <w:rsid w:val="000D55B0"/>
    <w:rsid w:val="000D73C6"/>
    <w:rsid w:val="00110A99"/>
    <w:rsid w:val="0011601B"/>
    <w:rsid w:val="00155524"/>
    <w:rsid w:val="00180EAC"/>
    <w:rsid w:val="001914F3"/>
    <w:rsid w:val="0019499D"/>
    <w:rsid w:val="001B0AB1"/>
    <w:rsid w:val="001D338E"/>
    <w:rsid w:val="001D69A9"/>
    <w:rsid w:val="001E1DA2"/>
    <w:rsid w:val="001E54A5"/>
    <w:rsid w:val="001E6443"/>
    <w:rsid w:val="001F0191"/>
    <w:rsid w:val="001F3F84"/>
    <w:rsid w:val="00212260"/>
    <w:rsid w:val="002200FD"/>
    <w:rsid w:val="00226F0C"/>
    <w:rsid w:val="00240078"/>
    <w:rsid w:val="00254692"/>
    <w:rsid w:val="002624B1"/>
    <w:rsid w:val="00272B60"/>
    <w:rsid w:val="00274A61"/>
    <w:rsid w:val="002757B2"/>
    <w:rsid w:val="0027680D"/>
    <w:rsid w:val="00293140"/>
    <w:rsid w:val="00293419"/>
    <w:rsid w:val="002A5A7B"/>
    <w:rsid w:val="002A7415"/>
    <w:rsid w:val="002C6202"/>
    <w:rsid w:val="002D0EEA"/>
    <w:rsid w:val="002D2FF7"/>
    <w:rsid w:val="002D54B5"/>
    <w:rsid w:val="002E62F0"/>
    <w:rsid w:val="002F280C"/>
    <w:rsid w:val="0032670A"/>
    <w:rsid w:val="0034029B"/>
    <w:rsid w:val="00341CAE"/>
    <w:rsid w:val="0035303A"/>
    <w:rsid w:val="00366074"/>
    <w:rsid w:val="00382D83"/>
    <w:rsid w:val="00382E88"/>
    <w:rsid w:val="003B4694"/>
    <w:rsid w:val="003D3D27"/>
    <w:rsid w:val="003E4322"/>
    <w:rsid w:val="003E667E"/>
    <w:rsid w:val="003F06EF"/>
    <w:rsid w:val="003F125C"/>
    <w:rsid w:val="003F31CA"/>
    <w:rsid w:val="00414571"/>
    <w:rsid w:val="00423916"/>
    <w:rsid w:val="00423E70"/>
    <w:rsid w:val="00433A38"/>
    <w:rsid w:val="00477449"/>
    <w:rsid w:val="00484906"/>
    <w:rsid w:val="0049535D"/>
    <w:rsid w:val="004A0528"/>
    <w:rsid w:val="004D5A37"/>
    <w:rsid w:val="004E0135"/>
    <w:rsid w:val="004F3206"/>
    <w:rsid w:val="004F5E71"/>
    <w:rsid w:val="00502230"/>
    <w:rsid w:val="005237A1"/>
    <w:rsid w:val="0055184E"/>
    <w:rsid w:val="005626BF"/>
    <w:rsid w:val="00565DDE"/>
    <w:rsid w:val="005B0D6D"/>
    <w:rsid w:val="005B1E87"/>
    <w:rsid w:val="005B49D6"/>
    <w:rsid w:val="005D072C"/>
    <w:rsid w:val="005D2740"/>
    <w:rsid w:val="005E3E6C"/>
    <w:rsid w:val="005E43DB"/>
    <w:rsid w:val="005F1C97"/>
    <w:rsid w:val="00620568"/>
    <w:rsid w:val="006250CE"/>
    <w:rsid w:val="0064199D"/>
    <w:rsid w:val="00653860"/>
    <w:rsid w:val="00654F92"/>
    <w:rsid w:val="006651E7"/>
    <w:rsid w:val="00666C28"/>
    <w:rsid w:val="00673BE1"/>
    <w:rsid w:val="006845E9"/>
    <w:rsid w:val="00684C98"/>
    <w:rsid w:val="00686D35"/>
    <w:rsid w:val="00694F4F"/>
    <w:rsid w:val="006A1977"/>
    <w:rsid w:val="006E26D3"/>
    <w:rsid w:val="006E2ABA"/>
    <w:rsid w:val="006E3CD2"/>
    <w:rsid w:val="006E73A1"/>
    <w:rsid w:val="006F0131"/>
    <w:rsid w:val="006F2AA2"/>
    <w:rsid w:val="00711EFC"/>
    <w:rsid w:val="00740745"/>
    <w:rsid w:val="0074210C"/>
    <w:rsid w:val="00742EBD"/>
    <w:rsid w:val="00747C86"/>
    <w:rsid w:val="00756973"/>
    <w:rsid w:val="00762372"/>
    <w:rsid w:val="00771B97"/>
    <w:rsid w:val="00772075"/>
    <w:rsid w:val="00790517"/>
    <w:rsid w:val="00797D0D"/>
    <w:rsid w:val="007A3ACC"/>
    <w:rsid w:val="007B209C"/>
    <w:rsid w:val="007C567C"/>
    <w:rsid w:val="0083580C"/>
    <w:rsid w:val="00846407"/>
    <w:rsid w:val="00863A30"/>
    <w:rsid w:val="008640AC"/>
    <w:rsid w:val="008658BE"/>
    <w:rsid w:val="00886FDA"/>
    <w:rsid w:val="008877E2"/>
    <w:rsid w:val="00896E50"/>
    <w:rsid w:val="008A4E40"/>
    <w:rsid w:val="008B018B"/>
    <w:rsid w:val="008B01E8"/>
    <w:rsid w:val="008D0003"/>
    <w:rsid w:val="008D35FC"/>
    <w:rsid w:val="008D5EE4"/>
    <w:rsid w:val="008D64B8"/>
    <w:rsid w:val="008E0FC2"/>
    <w:rsid w:val="00900250"/>
    <w:rsid w:val="009009AE"/>
    <w:rsid w:val="00906B28"/>
    <w:rsid w:val="009164FB"/>
    <w:rsid w:val="00922275"/>
    <w:rsid w:val="00931A60"/>
    <w:rsid w:val="0094422F"/>
    <w:rsid w:val="00951558"/>
    <w:rsid w:val="00990690"/>
    <w:rsid w:val="00995360"/>
    <w:rsid w:val="009A469D"/>
    <w:rsid w:val="009B2C68"/>
    <w:rsid w:val="009C0968"/>
    <w:rsid w:val="009C6682"/>
    <w:rsid w:val="009D6C4B"/>
    <w:rsid w:val="009E67FA"/>
    <w:rsid w:val="009F1110"/>
    <w:rsid w:val="00A00386"/>
    <w:rsid w:val="00A019FF"/>
    <w:rsid w:val="00A01CD7"/>
    <w:rsid w:val="00A177D7"/>
    <w:rsid w:val="00A17EC3"/>
    <w:rsid w:val="00A3737F"/>
    <w:rsid w:val="00A43700"/>
    <w:rsid w:val="00A51D13"/>
    <w:rsid w:val="00A60355"/>
    <w:rsid w:val="00A61058"/>
    <w:rsid w:val="00A744DF"/>
    <w:rsid w:val="00A80C46"/>
    <w:rsid w:val="00A92691"/>
    <w:rsid w:val="00A966DA"/>
    <w:rsid w:val="00AA3D7F"/>
    <w:rsid w:val="00AB7981"/>
    <w:rsid w:val="00AC038F"/>
    <w:rsid w:val="00AC1524"/>
    <w:rsid w:val="00AD2313"/>
    <w:rsid w:val="00AE1458"/>
    <w:rsid w:val="00AE4390"/>
    <w:rsid w:val="00AF7479"/>
    <w:rsid w:val="00B05522"/>
    <w:rsid w:val="00B41448"/>
    <w:rsid w:val="00B537F6"/>
    <w:rsid w:val="00B91979"/>
    <w:rsid w:val="00BA46DF"/>
    <w:rsid w:val="00BB4566"/>
    <w:rsid w:val="00BC5F8C"/>
    <w:rsid w:val="00BD5FF4"/>
    <w:rsid w:val="00BF4028"/>
    <w:rsid w:val="00BF408C"/>
    <w:rsid w:val="00C02A0D"/>
    <w:rsid w:val="00C150E1"/>
    <w:rsid w:val="00C173E6"/>
    <w:rsid w:val="00C17413"/>
    <w:rsid w:val="00C24903"/>
    <w:rsid w:val="00C347B4"/>
    <w:rsid w:val="00C46DA4"/>
    <w:rsid w:val="00C47427"/>
    <w:rsid w:val="00C5035E"/>
    <w:rsid w:val="00C55BA6"/>
    <w:rsid w:val="00C76825"/>
    <w:rsid w:val="00CC2DE9"/>
    <w:rsid w:val="00CC31F6"/>
    <w:rsid w:val="00CE0DD6"/>
    <w:rsid w:val="00CE5CEB"/>
    <w:rsid w:val="00CE7067"/>
    <w:rsid w:val="00CF181D"/>
    <w:rsid w:val="00D0685C"/>
    <w:rsid w:val="00D11F81"/>
    <w:rsid w:val="00D30590"/>
    <w:rsid w:val="00D52E07"/>
    <w:rsid w:val="00D67C92"/>
    <w:rsid w:val="00D7661B"/>
    <w:rsid w:val="00D902B7"/>
    <w:rsid w:val="00D90A28"/>
    <w:rsid w:val="00DA2AE6"/>
    <w:rsid w:val="00DB14CE"/>
    <w:rsid w:val="00DB44FA"/>
    <w:rsid w:val="00DE2817"/>
    <w:rsid w:val="00DF2EFD"/>
    <w:rsid w:val="00E00005"/>
    <w:rsid w:val="00E0219F"/>
    <w:rsid w:val="00E07F94"/>
    <w:rsid w:val="00E23C59"/>
    <w:rsid w:val="00E304A2"/>
    <w:rsid w:val="00E3702E"/>
    <w:rsid w:val="00E41EF1"/>
    <w:rsid w:val="00E45FCA"/>
    <w:rsid w:val="00E507A3"/>
    <w:rsid w:val="00E94227"/>
    <w:rsid w:val="00EB1130"/>
    <w:rsid w:val="00EB6175"/>
    <w:rsid w:val="00EF26F0"/>
    <w:rsid w:val="00F317B3"/>
    <w:rsid w:val="00F33792"/>
    <w:rsid w:val="00F53A40"/>
    <w:rsid w:val="00F651B5"/>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0E782"/>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20514736">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3671586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18354935">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4C188-65BE-4DAC-9706-BAE5259F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2083</Words>
  <Characters>11950</Characters>
  <Application>Microsoft Office Word</Application>
  <DocSecurity>0</DocSecurity>
  <Lines>307</Lines>
  <Paragraphs>74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Treesukol Iamsiri (TH)</cp:lastModifiedBy>
  <cp:revision>36</cp:revision>
  <cp:lastPrinted>2021-02-17T19:36:00Z</cp:lastPrinted>
  <dcterms:created xsi:type="dcterms:W3CDTF">2021-02-17T06:53:00Z</dcterms:created>
  <dcterms:modified xsi:type="dcterms:W3CDTF">2021-02-18T08:19:00Z</dcterms:modified>
</cp:coreProperties>
</file>